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1067" w:rsidRPr="00951067" w:rsidRDefault="00951067" w:rsidP="00951067">
      <w:pPr>
        <w:spacing w:line="240" w:lineRule="auto"/>
        <w:jc w:val="center"/>
        <w:rPr>
          <w:rFonts w:ascii="Arial" w:eastAsia="Times New Roman" w:hAnsi="Arial" w:cs="Arial"/>
          <w:sz w:val="18"/>
          <w:szCs w:val="18"/>
          <w:lang w:eastAsia="es-CO"/>
        </w:rPr>
      </w:pPr>
      <w:r w:rsidRPr="00951067">
        <w:rPr>
          <w:rFonts w:ascii="Segoe UI" w:eastAsia="Times New Roman" w:hAnsi="Segoe UI" w:cs="Segoe UI"/>
          <w:b/>
          <w:bCs/>
          <w:sz w:val="28"/>
          <w:szCs w:val="28"/>
          <w:lang w:eastAsia="es-CO"/>
        </w:rPr>
        <w:t>CONSEJO DE ESTADO</w:t>
      </w:r>
    </w:p>
    <w:p w:rsidR="00951067" w:rsidRPr="00951067" w:rsidRDefault="00951067" w:rsidP="00951067">
      <w:pPr>
        <w:spacing w:line="240" w:lineRule="auto"/>
        <w:jc w:val="center"/>
        <w:rPr>
          <w:rFonts w:ascii="Arial" w:eastAsia="Times New Roman" w:hAnsi="Arial" w:cs="Arial"/>
          <w:sz w:val="18"/>
          <w:szCs w:val="18"/>
          <w:lang w:eastAsia="es-CO"/>
        </w:rPr>
      </w:pPr>
      <w:r w:rsidRPr="00951067">
        <w:rPr>
          <w:rFonts w:ascii="Segoe UI" w:eastAsia="Times New Roman" w:hAnsi="Segoe UI" w:cs="Segoe UI"/>
          <w:b/>
          <w:bCs/>
          <w:sz w:val="28"/>
          <w:szCs w:val="28"/>
          <w:lang w:eastAsia="es-CO"/>
        </w:rPr>
        <w:t>SALA DE LO CONTENCIOSO ADMINISTRATIVO</w:t>
      </w:r>
    </w:p>
    <w:p w:rsidR="00951067" w:rsidRPr="00951067" w:rsidRDefault="00951067" w:rsidP="00951067">
      <w:pPr>
        <w:spacing w:line="240" w:lineRule="auto"/>
        <w:jc w:val="center"/>
        <w:rPr>
          <w:rFonts w:ascii="Arial" w:eastAsia="Times New Roman" w:hAnsi="Arial" w:cs="Arial"/>
          <w:sz w:val="18"/>
          <w:szCs w:val="18"/>
          <w:lang w:eastAsia="es-CO"/>
        </w:rPr>
      </w:pPr>
      <w:r w:rsidRPr="00951067">
        <w:rPr>
          <w:rFonts w:ascii="Segoe UI" w:eastAsia="Times New Roman" w:hAnsi="Segoe UI" w:cs="Segoe UI"/>
          <w:b/>
          <w:bCs/>
          <w:sz w:val="28"/>
          <w:szCs w:val="28"/>
          <w:lang w:eastAsia="es-CO"/>
        </w:rPr>
        <w:t>SECCIÓN CUARTA</w:t>
      </w:r>
    </w:p>
    <w:p w:rsidR="00951067" w:rsidRPr="00951067" w:rsidRDefault="00951067" w:rsidP="00951067">
      <w:pPr>
        <w:spacing w:line="240" w:lineRule="auto"/>
        <w:jc w:val="center"/>
        <w:rPr>
          <w:rFonts w:ascii="Arial" w:eastAsia="Times New Roman" w:hAnsi="Arial" w:cs="Arial"/>
          <w:sz w:val="18"/>
          <w:szCs w:val="18"/>
          <w:lang w:eastAsia="es-CO"/>
        </w:rPr>
      </w:pPr>
      <w:r w:rsidRPr="00951067">
        <w:rPr>
          <w:rFonts w:ascii="Segoe UI" w:eastAsia="Times New Roman" w:hAnsi="Segoe UI" w:cs="Segoe UI"/>
          <w:b/>
          <w:bCs/>
          <w:sz w:val="28"/>
          <w:szCs w:val="28"/>
          <w:lang w:eastAsia="es-CO"/>
        </w:rPr>
        <w:t> </w:t>
      </w:r>
    </w:p>
    <w:p w:rsidR="00951067" w:rsidRPr="00951067" w:rsidRDefault="00951067" w:rsidP="00951067">
      <w:pPr>
        <w:spacing w:line="240" w:lineRule="auto"/>
        <w:jc w:val="center"/>
        <w:rPr>
          <w:rFonts w:ascii="Arial" w:eastAsia="Times New Roman" w:hAnsi="Arial" w:cs="Arial"/>
          <w:sz w:val="18"/>
          <w:szCs w:val="18"/>
          <w:lang w:eastAsia="es-CO"/>
        </w:rPr>
      </w:pPr>
      <w:r w:rsidRPr="00951067">
        <w:rPr>
          <w:rFonts w:ascii="Segoe UI" w:eastAsia="Times New Roman" w:hAnsi="Segoe UI" w:cs="Segoe UI"/>
          <w:b/>
          <w:bCs/>
          <w:sz w:val="28"/>
          <w:szCs w:val="28"/>
          <w:lang w:eastAsia="es-CO"/>
        </w:rPr>
        <w:t>Consejero ponente: HUGO FERNANDO BASTIDAS BÁRCENAS</w:t>
      </w:r>
    </w:p>
    <w:p w:rsidR="00951067" w:rsidRPr="00951067" w:rsidRDefault="00951067" w:rsidP="00951067">
      <w:pPr>
        <w:spacing w:line="240" w:lineRule="auto"/>
        <w:jc w:val="center"/>
        <w:rPr>
          <w:rFonts w:ascii="Arial" w:eastAsia="Times New Roman" w:hAnsi="Arial" w:cs="Arial"/>
          <w:sz w:val="18"/>
          <w:szCs w:val="18"/>
          <w:lang w:eastAsia="es-CO"/>
        </w:rPr>
      </w:pPr>
      <w:r w:rsidRPr="00951067">
        <w:rPr>
          <w:rFonts w:ascii="Segoe UI" w:eastAsia="Times New Roman" w:hAnsi="Segoe UI" w:cs="Segoe UI"/>
          <w:b/>
          <w:bCs/>
          <w:sz w:val="28"/>
          <w:szCs w:val="28"/>
          <w:lang w:eastAsia="es-CO"/>
        </w:rPr>
        <w:t>Bogotá D.C., nueve (9) de marzo de dos mil diecisiete (2017)</w:t>
      </w:r>
    </w:p>
    <w:p w:rsidR="00951067" w:rsidRPr="00951067" w:rsidRDefault="00951067" w:rsidP="00951067">
      <w:pPr>
        <w:spacing w:line="240" w:lineRule="auto"/>
        <w:jc w:val="center"/>
        <w:rPr>
          <w:rFonts w:ascii="Arial" w:eastAsia="Times New Roman" w:hAnsi="Arial" w:cs="Arial"/>
          <w:sz w:val="18"/>
          <w:szCs w:val="18"/>
          <w:lang w:eastAsia="es-CO"/>
        </w:rPr>
      </w:pPr>
      <w:r w:rsidRPr="00951067">
        <w:rPr>
          <w:rFonts w:ascii="Segoe UI" w:eastAsia="Times New Roman" w:hAnsi="Segoe UI" w:cs="Segoe UI"/>
          <w:b/>
          <w:bCs/>
          <w:sz w:val="28"/>
          <w:szCs w:val="28"/>
          <w:lang w:eastAsia="es-CO"/>
        </w:rPr>
        <w:t>Radicación número: 11001-03-27-000-2012-00042-01(19715)</w:t>
      </w:r>
    </w:p>
    <w:p w:rsidR="00951067" w:rsidRPr="00951067" w:rsidRDefault="00951067" w:rsidP="00951067">
      <w:pPr>
        <w:spacing w:line="240" w:lineRule="auto"/>
        <w:jc w:val="center"/>
        <w:rPr>
          <w:rFonts w:ascii="Arial" w:eastAsia="Times New Roman" w:hAnsi="Arial" w:cs="Arial"/>
          <w:sz w:val="18"/>
          <w:szCs w:val="18"/>
          <w:lang w:eastAsia="es-CO"/>
        </w:rPr>
      </w:pPr>
      <w:r w:rsidRPr="00951067">
        <w:rPr>
          <w:rFonts w:ascii="Segoe UI" w:eastAsia="Times New Roman" w:hAnsi="Segoe UI" w:cs="Segoe UI"/>
          <w:b/>
          <w:bCs/>
          <w:sz w:val="28"/>
          <w:szCs w:val="28"/>
          <w:lang w:eastAsia="es-CO"/>
        </w:rPr>
        <w:t>Actor: ALBEIRO ROJAS SALAZAR</w:t>
      </w:r>
    </w:p>
    <w:p w:rsidR="00951067" w:rsidRPr="00951067" w:rsidRDefault="00951067" w:rsidP="00951067">
      <w:pPr>
        <w:spacing w:line="240" w:lineRule="auto"/>
        <w:jc w:val="center"/>
        <w:rPr>
          <w:rFonts w:ascii="Arial" w:eastAsia="Times New Roman" w:hAnsi="Arial" w:cs="Arial"/>
          <w:sz w:val="18"/>
          <w:szCs w:val="18"/>
          <w:lang w:eastAsia="es-CO"/>
        </w:rPr>
      </w:pPr>
      <w:r w:rsidRPr="00951067">
        <w:rPr>
          <w:rFonts w:ascii="Segoe UI" w:eastAsia="Times New Roman" w:hAnsi="Segoe UI" w:cs="Segoe UI"/>
          <w:b/>
          <w:bCs/>
          <w:sz w:val="28"/>
          <w:szCs w:val="28"/>
          <w:lang w:eastAsia="es-CO"/>
        </w:rPr>
        <w:t>Demandado: MINISTERIO DE HACIENDA Y CRÉDITO PÚBLICO</w:t>
      </w:r>
    </w:p>
    <w:p w:rsidR="00951067" w:rsidRPr="00951067" w:rsidRDefault="00951067" w:rsidP="00951067">
      <w:pPr>
        <w:spacing w:line="240" w:lineRule="auto"/>
        <w:jc w:val="center"/>
        <w:rPr>
          <w:rFonts w:ascii="Arial" w:eastAsia="Times New Roman" w:hAnsi="Arial" w:cs="Arial"/>
          <w:sz w:val="18"/>
          <w:szCs w:val="18"/>
          <w:lang w:eastAsia="es-CO"/>
        </w:rPr>
      </w:pPr>
      <w:r w:rsidRPr="00951067">
        <w:rPr>
          <w:rFonts w:ascii="Segoe UI" w:eastAsia="Times New Roman" w:hAnsi="Segoe UI" w:cs="Segoe UI"/>
          <w:b/>
          <w:bCs/>
          <w:sz w:val="28"/>
          <w:szCs w:val="28"/>
          <w:lang w:eastAsia="es-CO"/>
        </w:rPr>
        <w:t> </w:t>
      </w:r>
    </w:p>
    <w:p w:rsidR="00951067" w:rsidRPr="00951067" w:rsidRDefault="00951067" w:rsidP="00951067">
      <w:pPr>
        <w:spacing w:line="240" w:lineRule="auto"/>
        <w:jc w:val="center"/>
        <w:rPr>
          <w:rFonts w:ascii="Arial" w:eastAsia="Times New Roman" w:hAnsi="Arial" w:cs="Arial"/>
          <w:sz w:val="18"/>
          <w:szCs w:val="18"/>
          <w:lang w:eastAsia="es-CO"/>
        </w:rPr>
      </w:pPr>
      <w:r w:rsidRPr="00951067">
        <w:rPr>
          <w:rFonts w:ascii="Segoe UI" w:eastAsia="Times New Roman" w:hAnsi="Segoe UI" w:cs="Segoe UI"/>
          <w:b/>
          <w:bCs/>
          <w:sz w:val="28"/>
          <w:szCs w:val="28"/>
          <w:lang w:eastAsia="es-CO"/>
        </w:rPr>
        <w:t>FALLO</w:t>
      </w:r>
    </w:p>
    <w:p w:rsidR="00951067" w:rsidRPr="00951067" w:rsidRDefault="00951067" w:rsidP="00951067">
      <w:pPr>
        <w:spacing w:line="240" w:lineRule="auto"/>
        <w:rPr>
          <w:rFonts w:ascii="Arial" w:eastAsia="Times New Roman" w:hAnsi="Arial" w:cs="Arial"/>
          <w:sz w:val="18"/>
          <w:szCs w:val="18"/>
          <w:lang w:eastAsia="es-CO"/>
        </w:rPr>
      </w:pPr>
      <w:r w:rsidRPr="00951067">
        <w:rPr>
          <w:rFonts w:ascii="Segoe UI" w:eastAsia="Times New Roman" w:hAnsi="Segoe UI" w:cs="Segoe UI"/>
          <w:b/>
          <w:bCs/>
          <w:sz w:val="18"/>
          <w:szCs w:val="18"/>
          <w:lang w:eastAsia="es-CO"/>
        </w:rPr>
        <w:t> </w:t>
      </w:r>
    </w:p>
    <w:p w:rsidR="00951067" w:rsidRPr="00951067" w:rsidRDefault="00951067" w:rsidP="00951067">
      <w:pPr>
        <w:spacing w:line="240" w:lineRule="auto"/>
        <w:rPr>
          <w:rFonts w:ascii="Arial" w:eastAsia="Times New Roman" w:hAnsi="Arial" w:cs="Arial"/>
          <w:sz w:val="18"/>
          <w:szCs w:val="18"/>
          <w:lang w:eastAsia="es-CO"/>
        </w:rPr>
      </w:pPr>
      <w:r w:rsidRPr="00951067">
        <w:rPr>
          <w:rFonts w:ascii="Segoe UI" w:eastAsia="Times New Roman" w:hAnsi="Segoe UI" w:cs="Segoe UI"/>
          <w:b/>
          <w:bCs/>
          <w:sz w:val="18"/>
          <w:szCs w:val="18"/>
          <w:lang w:eastAsia="es-CO"/>
        </w:rPr>
        <w:t> </w:t>
      </w:r>
    </w:p>
    <w:p w:rsidR="00951067" w:rsidRPr="00951067" w:rsidRDefault="00951067" w:rsidP="00951067">
      <w:pPr>
        <w:spacing w:line="240" w:lineRule="auto"/>
        <w:rPr>
          <w:rFonts w:ascii="Arial" w:eastAsia="Times New Roman" w:hAnsi="Arial" w:cs="Arial"/>
          <w:sz w:val="18"/>
          <w:szCs w:val="18"/>
          <w:lang w:eastAsia="es-CO"/>
        </w:rPr>
      </w:pPr>
      <w:r w:rsidRPr="00951067">
        <w:rPr>
          <w:rFonts w:ascii="Segoe UI" w:eastAsia="Times New Roman" w:hAnsi="Segoe UI" w:cs="Segoe UI"/>
          <w:sz w:val="18"/>
          <w:szCs w:val="18"/>
          <w:lang w:eastAsia="es-CO"/>
        </w:rPr>
        <w:t>Vencido el término otorgado a las partes para presentar los respectivos alegatos de conclusión, la Sala procede a dictar sentencia en la demanda iniciada por el ciudadano Albeiro Rojas Salazar, en ejercicio del medio de control de nulidad previsto en el artículo 137 del Código de Procedimiento Administrativo y de lo Contencioso Administrativo, contra los artículos 1, 2, 3, 4 y 5 (parcial) del Decreto 4956 de 2011, </w:t>
      </w:r>
      <w:r w:rsidRPr="00951067">
        <w:rPr>
          <w:rFonts w:ascii="Segoe UI" w:eastAsia="Times New Roman" w:hAnsi="Segoe UI" w:cs="Segoe UI"/>
          <w:i/>
          <w:iCs/>
          <w:sz w:val="18"/>
          <w:szCs w:val="18"/>
          <w:lang w:eastAsia="es-CO"/>
        </w:rPr>
        <w:t>“Por el cual se reglamenta el artículo 102 de la Ley 1450 de 2011”.</w:t>
      </w:r>
    </w:p>
    <w:p w:rsidR="00951067" w:rsidRPr="00951067" w:rsidRDefault="00951067" w:rsidP="00951067">
      <w:pPr>
        <w:spacing w:line="240" w:lineRule="auto"/>
        <w:jc w:val="center"/>
        <w:rPr>
          <w:rFonts w:ascii="Arial" w:eastAsia="Times New Roman" w:hAnsi="Arial" w:cs="Arial"/>
          <w:sz w:val="18"/>
          <w:szCs w:val="18"/>
          <w:lang w:eastAsia="es-CO"/>
        </w:rPr>
      </w:pPr>
      <w:r w:rsidRPr="00951067">
        <w:rPr>
          <w:rFonts w:ascii="Segoe UI" w:eastAsia="Times New Roman" w:hAnsi="Segoe UI" w:cs="Segoe UI"/>
          <w:sz w:val="18"/>
          <w:szCs w:val="18"/>
          <w:lang w:eastAsia="es-CO"/>
        </w:rPr>
        <w:t> </w:t>
      </w:r>
    </w:p>
    <w:p w:rsidR="00951067" w:rsidRPr="00951067" w:rsidRDefault="00951067" w:rsidP="00951067">
      <w:pPr>
        <w:spacing w:line="240" w:lineRule="auto"/>
        <w:jc w:val="center"/>
        <w:textAlignment w:val="baseline"/>
        <w:rPr>
          <w:rFonts w:ascii="Arial" w:eastAsia="Times New Roman" w:hAnsi="Arial" w:cs="Arial"/>
          <w:sz w:val="18"/>
          <w:szCs w:val="18"/>
          <w:lang w:eastAsia="es-CO"/>
        </w:rPr>
      </w:pPr>
      <w:r w:rsidRPr="00951067">
        <w:rPr>
          <w:rFonts w:ascii="Segoe UI" w:eastAsia="Times New Roman" w:hAnsi="Segoe UI" w:cs="Segoe UI"/>
          <w:b/>
          <w:bCs/>
          <w:sz w:val="18"/>
          <w:szCs w:val="18"/>
          <w:lang w:eastAsia="es-CO"/>
        </w:rPr>
        <w:t>1. ANTECEDENTES PROCESALES</w:t>
      </w:r>
    </w:p>
    <w:p w:rsidR="00951067" w:rsidRPr="00951067" w:rsidRDefault="00951067" w:rsidP="00951067">
      <w:pPr>
        <w:spacing w:line="240" w:lineRule="auto"/>
        <w:rPr>
          <w:rFonts w:ascii="Arial" w:eastAsia="Times New Roman" w:hAnsi="Arial" w:cs="Arial"/>
          <w:sz w:val="18"/>
          <w:szCs w:val="18"/>
          <w:lang w:eastAsia="es-CO"/>
        </w:rPr>
      </w:pPr>
      <w:r w:rsidRPr="00951067">
        <w:rPr>
          <w:rFonts w:ascii="Segoe UI" w:eastAsia="Times New Roman" w:hAnsi="Segoe UI" w:cs="Segoe UI"/>
          <w:sz w:val="18"/>
          <w:szCs w:val="18"/>
          <w:lang w:eastAsia="es-CO"/>
        </w:rPr>
        <w:t> </w:t>
      </w:r>
    </w:p>
    <w:p w:rsidR="00951067" w:rsidRPr="00951067" w:rsidRDefault="00951067" w:rsidP="00951067">
      <w:pPr>
        <w:spacing w:line="240" w:lineRule="auto"/>
        <w:textAlignment w:val="baseline"/>
        <w:rPr>
          <w:rFonts w:ascii="Arial" w:eastAsia="Times New Roman" w:hAnsi="Arial" w:cs="Arial"/>
          <w:sz w:val="18"/>
          <w:szCs w:val="18"/>
          <w:lang w:eastAsia="es-CO"/>
        </w:rPr>
      </w:pPr>
      <w:r w:rsidRPr="00951067">
        <w:rPr>
          <w:rFonts w:ascii="Segoe UI" w:eastAsia="Times New Roman" w:hAnsi="Segoe UI" w:cs="Segoe UI"/>
          <w:b/>
          <w:bCs/>
          <w:sz w:val="18"/>
          <w:szCs w:val="18"/>
          <w:lang w:eastAsia="es-CO"/>
        </w:rPr>
        <w:t>1.1. AUDIENCIA INICIAL</w:t>
      </w:r>
    </w:p>
    <w:p w:rsidR="00951067" w:rsidRPr="00951067" w:rsidRDefault="00951067" w:rsidP="00951067">
      <w:pPr>
        <w:spacing w:line="240" w:lineRule="auto"/>
        <w:rPr>
          <w:rFonts w:ascii="Arial" w:eastAsia="Times New Roman" w:hAnsi="Arial" w:cs="Arial"/>
          <w:sz w:val="18"/>
          <w:szCs w:val="18"/>
          <w:lang w:eastAsia="es-CO"/>
        </w:rPr>
      </w:pPr>
      <w:r w:rsidRPr="00951067">
        <w:rPr>
          <w:rFonts w:ascii="Segoe UI" w:eastAsia="Times New Roman" w:hAnsi="Segoe UI" w:cs="Segoe UI"/>
          <w:b/>
          <w:bCs/>
          <w:sz w:val="18"/>
          <w:szCs w:val="18"/>
          <w:lang w:eastAsia="es-CO"/>
        </w:rPr>
        <w:t> </w:t>
      </w:r>
    </w:p>
    <w:p w:rsidR="00951067" w:rsidRPr="00951067" w:rsidRDefault="00951067" w:rsidP="00951067">
      <w:pPr>
        <w:spacing w:line="240" w:lineRule="auto"/>
        <w:rPr>
          <w:rFonts w:ascii="Arial" w:eastAsia="Times New Roman" w:hAnsi="Arial" w:cs="Arial"/>
          <w:sz w:val="18"/>
          <w:szCs w:val="18"/>
          <w:lang w:eastAsia="es-CO"/>
        </w:rPr>
      </w:pPr>
      <w:r w:rsidRPr="00951067">
        <w:rPr>
          <w:rFonts w:ascii="Segoe UI" w:eastAsia="Times New Roman" w:hAnsi="Segoe UI" w:cs="Segoe UI"/>
          <w:sz w:val="18"/>
          <w:szCs w:val="18"/>
          <w:lang w:eastAsia="es-CO"/>
        </w:rPr>
        <w:t>El día 9 de febrero de 2017 se llevó a cabo la audiencia inicial, en los términos de los artículos 179 y 180 de la Ley 1437 de 2011 o Código de Procedimiento Administrativo y de lo Contencioso Administrativo CPACA, en la que se saneó el proceso, se decidieron las excepciones previas propuestas por el Ministerio de Hacienda, se fijó el litigio y se decretaron las pruebas pedidas por las partes.</w:t>
      </w:r>
    </w:p>
    <w:p w:rsidR="00951067" w:rsidRPr="00951067" w:rsidRDefault="00951067" w:rsidP="00951067">
      <w:pPr>
        <w:spacing w:line="240" w:lineRule="auto"/>
        <w:rPr>
          <w:rFonts w:ascii="Arial" w:eastAsia="Times New Roman" w:hAnsi="Arial" w:cs="Arial"/>
          <w:sz w:val="18"/>
          <w:szCs w:val="18"/>
          <w:lang w:eastAsia="es-CO"/>
        </w:rPr>
      </w:pPr>
      <w:r w:rsidRPr="00951067">
        <w:rPr>
          <w:rFonts w:ascii="Segoe UI" w:eastAsia="Times New Roman" w:hAnsi="Segoe UI" w:cs="Segoe UI"/>
          <w:sz w:val="18"/>
          <w:szCs w:val="18"/>
          <w:lang w:eastAsia="es-CO"/>
        </w:rPr>
        <w:t> </w:t>
      </w:r>
    </w:p>
    <w:p w:rsidR="00951067" w:rsidRPr="00951067" w:rsidRDefault="00951067" w:rsidP="00951067">
      <w:pPr>
        <w:spacing w:line="240" w:lineRule="auto"/>
        <w:textAlignment w:val="baseline"/>
        <w:rPr>
          <w:rFonts w:ascii="Arial" w:eastAsia="Times New Roman" w:hAnsi="Arial" w:cs="Arial"/>
          <w:sz w:val="18"/>
          <w:szCs w:val="18"/>
          <w:lang w:eastAsia="es-CO"/>
        </w:rPr>
      </w:pPr>
      <w:r w:rsidRPr="00951067">
        <w:rPr>
          <w:rFonts w:ascii="Segoe UI" w:eastAsia="Times New Roman" w:hAnsi="Segoe UI" w:cs="Segoe UI"/>
          <w:b/>
          <w:bCs/>
          <w:sz w:val="18"/>
          <w:szCs w:val="18"/>
          <w:lang w:eastAsia="es-CO"/>
        </w:rPr>
        <w:t>1.2. ALEGATOS DE CONCLUSIÓN</w:t>
      </w:r>
    </w:p>
    <w:p w:rsidR="00951067" w:rsidRPr="00951067" w:rsidRDefault="00951067" w:rsidP="00951067">
      <w:pPr>
        <w:spacing w:line="240" w:lineRule="auto"/>
        <w:rPr>
          <w:rFonts w:ascii="Arial" w:eastAsia="Times New Roman" w:hAnsi="Arial" w:cs="Arial"/>
          <w:sz w:val="18"/>
          <w:szCs w:val="18"/>
          <w:lang w:eastAsia="es-CO"/>
        </w:rPr>
      </w:pPr>
      <w:r w:rsidRPr="00951067">
        <w:rPr>
          <w:rFonts w:ascii="Segoe UI" w:eastAsia="Times New Roman" w:hAnsi="Segoe UI" w:cs="Segoe UI"/>
          <w:b/>
          <w:bCs/>
          <w:sz w:val="18"/>
          <w:szCs w:val="18"/>
          <w:lang w:eastAsia="es-CO"/>
        </w:rPr>
        <w:t> </w:t>
      </w:r>
    </w:p>
    <w:p w:rsidR="00951067" w:rsidRPr="00951067" w:rsidRDefault="00951067" w:rsidP="00951067">
      <w:pPr>
        <w:spacing w:line="240" w:lineRule="auto"/>
        <w:rPr>
          <w:rFonts w:ascii="Arial" w:eastAsia="Times New Roman" w:hAnsi="Arial" w:cs="Arial"/>
          <w:sz w:val="18"/>
          <w:szCs w:val="18"/>
          <w:lang w:eastAsia="es-CO"/>
        </w:rPr>
      </w:pPr>
      <w:r w:rsidRPr="00951067">
        <w:rPr>
          <w:rFonts w:ascii="Segoe UI" w:eastAsia="Times New Roman" w:hAnsi="Segoe UI" w:cs="Segoe UI"/>
          <w:sz w:val="18"/>
          <w:szCs w:val="18"/>
          <w:lang w:eastAsia="es-CO"/>
        </w:rPr>
        <w:t>La </w:t>
      </w:r>
      <w:r w:rsidRPr="00951067">
        <w:rPr>
          <w:rFonts w:ascii="Segoe UI" w:eastAsia="Times New Roman" w:hAnsi="Segoe UI" w:cs="Segoe UI"/>
          <w:b/>
          <w:bCs/>
          <w:sz w:val="18"/>
          <w:szCs w:val="18"/>
          <w:lang w:eastAsia="es-CO"/>
        </w:rPr>
        <w:t>parte demandante</w:t>
      </w:r>
      <w:r w:rsidRPr="00951067">
        <w:rPr>
          <w:rFonts w:ascii="Segoe UI" w:eastAsia="Times New Roman" w:hAnsi="Segoe UI" w:cs="Segoe UI"/>
          <w:sz w:val="18"/>
          <w:szCs w:val="18"/>
          <w:lang w:eastAsia="es-CO"/>
        </w:rPr>
        <w:t> alegó de conclusión en los siguientes términos:</w:t>
      </w:r>
    </w:p>
    <w:p w:rsidR="00951067" w:rsidRPr="00951067" w:rsidRDefault="00951067" w:rsidP="00951067">
      <w:pPr>
        <w:spacing w:line="240" w:lineRule="auto"/>
        <w:rPr>
          <w:rFonts w:ascii="Arial" w:eastAsia="Times New Roman" w:hAnsi="Arial" w:cs="Arial"/>
          <w:sz w:val="18"/>
          <w:szCs w:val="18"/>
          <w:lang w:eastAsia="es-CO"/>
        </w:rPr>
      </w:pPr>
      <w:r w:rsidRPr="00951067">
        <w:rPr>
          <w:rFonts w:ascii="Segoe UI" w:eastAsia="Times New Roman" w:hAnsi="Segoe UI" w:cs="Segoe UI"/>
          <w:sz w:val="18"/>
          <w:szCs w:val="18"/>
          <w:lang w:eastAsia="es-CO"/>
        </w:rPr>
        <w:t> </w:t>
      </w:r>
    </w:p>
    <w:p w:rsidR="00951067" w:rsidRPr="00951067" w:rsidRDefault="00951067" w:rsidP="00951067">
      <w:pPr>
        <w:spacing w:line="240" w:lineRule="auto"/>
        <w:rPr>
          <w:rFonts w:ascii="Arial" w:eastAsia="Times New Roman" w:hAnsi="Arial" w:cs="Arial"/>
          <w:sz w:val="18"/>
          <w:szCs w:val="18"/>
          <w:lang w:eastAsia="es-CO"/>
        </w:rPr>
      </w:pPr>
      <w:r w:rsidRPr="00951067">
        <w:rPr>
          <w:rFonts w:ascii="Segoe UI" w:eastAsia="Times New Roman" w:hAnsi="Segoe UI" w:cs="Segoe UI"/>
          <w:sz w:val="18"/>
          <w:szCs w:val="18"/>
          <w:lang w:eastAsia="es-CO"/>
        </w:rPr>
        <w:t>Reiteró que el Decreto acusado viola los artículos 338 de la Constitución Política y el artículo 102 de la Ley 1450 de 2011, por falta de competencia, por exceso del Gobierno nacional en el ejercicio de la facultad reglamentaria.</w:t>
      </w:r>
    </w:p>
    <w:p w:rsidR="00951067" w:rsidRPr="00951067" w:rsidRDefault="00951067" w:rsidP="00951067">
      <w:pPr>
        <w:spacing w:line="240" w:lineRule="auto"/>
        <w:rPr>
          <w:rFonts w:ascii="Arial" w:eastAsia="Times New Roman" w:hAnsi="Arial" w:cs="Arial"/>
          <w:sz w:val="18"/>
          <w:szCs w:val="18"/>
          <w:lang w:eastAsia="es-CO"/>
        </w:rPr>
      </w:pPr>
      <w:r w:rsidRPr="00951067">
        <w:rPr>
          <w:rFonts w:ascii="Segoe UI" w:eastAsia="Times New Roman" w:hAnsi="Segoe UI" w:cs="Segoe UI"/>
          <w:sz w:val="18"/>
          <w:szCs w:val="18"/>
          <w:lang w:eastAsia="es-CO"/>
        </w:rPr>
        <w:t> </w:t>
      </w:r>
    </w:p>
    <w:p w:rsidR="00951067" w:rsidRPr="00951067" w:rsidRDefault="00951067" w:rsidP="00951067">
      <w:pPr>
        <w:spacing w:line="240" w:lineRule="auto"/>
        <w:rPr>
          <w:rFonts w:ascii="Arial" w:eastAsia="Times New Roman" w:hAnsi="Arial" w:cs="Arial"/>
          <w:sz w:val="18"/>
          <w:szCs w:val="18"/>
          <w:lang w:eastAsia="es-CO"/>
        </w:rPr>
      </w:pPr>
      <w:r w:rsidRPr="00951067">
        <w:rPr>
          <w:rFonts w:ascii="Segoe UI" w:eastAsia="Times New Roman" w:hAnsi="Segoe UI" w:cs="Segoe UI"/>
          <w:sz w:val="18"/>
          <w:szCs w:val="18"/>
          <w:lang w:eastAsia="es-CO"/>
        </w:rPr>
        <w:t>Indicó que el Decreto 4956 de 2011 redefine los sujetos pasivos de la contribución de solidaridad, lo que es una atribución exclusiva del Congreso y no del Presidente de la República.</w:t>
      </w:r>
    </w:p>
    <w:p w:rsidR="00951067" w:rsidRPr="00951067" w:rsidRDefault="00951067" w:rsidP="00951067">
      <w:pPr>
        <w:spacing w:line="240" w:lineRule="auto"/>
        <w:rPr>
          <w:rFonts w:ascii="Arial" w:eastAsia="Times New Roman" w:hAnsi="Arial" w:cs="Arial"/>
          <w:sz w:val="18"/>
          <w:szCs w:val="18"/>
          <w:lang w:eastAsia="es-CO"/>
        </w:rPr>
      </w:pPr>
      <w:r w:rsidRPr="00951067">
        <w:rPr>
          <w:rFonts w:ascii="Segoe UI" w:eastAsia="Times New Roman" w:hAnsi="Segoe UI" w:cs="Segoe UI"/>
          <w:sz w:val="18"/>
          <w:szCs w:val="18"/>
          <w:lang w:eastAsia="es-CO"/>
        </w:rPr>
        <w:t> </w:t>
      </w:r>
    </w:p>
    <w:p w:rsidR="00951067" w:rsidRPr="00951067" w:rsidRDefault="00951067" w:rsidP="00951067">
      <w:pPr>
        <w:spacing w:line="240" w:lineRule="auto"/>
        <w:rPr>
          <w:rFonts w:ascii="Arial" w:eastAsia="Times New Roman" w:hAnsi="Arial" w:cs="Arial"/>
          <w:sz w:val="18"/>
          <w:szCs w:val="18"/>
          <w:lang w:eastAsia="es-CO"/>
        </w:rPr>
      </w:pPr>
      <w:r w:rsidRPr="00951067">
        <w:rPr>
          <w:rFonts w:ascii="Segoe UI" w:eastAsia="Times New Roman" w:hAnsi="Segoe UI" w:cs="Segoe UI"/>
          <w:sz w:val="18"/>
          <w:szCs w:val="18"/>
          <w:lang w:eastAsia="es-CO"/>
        </w:rPr>
        <w:t>Insistió en que el artículo 102 de la Ley 1450 de 2011 solo otorgó facultades al Gobierno para reglamentar las condiciones necesarias para que los prestadores del servicio público de gas natural domiciliario realizaran un adecuado control entre las distintas clases de usuarios, y no para modificar el sujeto pasivo del tributo.</w:t>
      </w:r>
    </w:p>
    <w:p w:rsidR="00951067" w:rsidRPr="00951067" w:rsidRDefault="00951067" w:rsidP="00951067">
      <w:pPr>
        <w:spacing w:line="240" w:lineRule="auto"/>
        <w:rPr>
          <w:rFonts w:ascii="Arial" w:eastAsia="Times New Roman" w:hAnsi="Arial" w:cs="Arial"/>
          <w:sz w:val="18"/>
          <w:szCs w:val="18"/>
          <w:lang w:eastAsia="es-CO"/>
        </w:rPr>
      </w:pPr>
      <w:r w:rsidRPr="00951067">
        <w:rPr>
          <w:rFonts w:ascii="Segoe UI" w:eastAsia="Times New Roman" w:hAnsi="Segoe UI" w:cs="Segoe UI"/>
          <w:sz w:val="18"/>
          <w:szCs w:val="18"/>
          <w:lang w:eastAsia="es-CO"/>
        </w:rPr>
        <w:t> </w:t>
      </w:r>
    </w:p>
    <w:p w:rsidR="00951067" w:rsidRPr="00951067" w:rsidRDefault="00951067" w:rsidP="00951067">
      <w:pPr>
        <w:spacing w:line="240" w:lineRule="auto"/>
        <w:rPr>
          <w:rFonts w:ascii="Arial" w:eastAsia="Times New Roman" w:hAnsi="Arial" w:cs="Arial"/>
          <w:sz w:val="18"/>
          <w:szCs w:val="18"/>
          <w:lang w:eastAsia="es-CO"/>
        </w:rPr>
      </w:pPr>
      <w:r w:rsidRPr="00951067">
        <w:rPr>
          <w:rFonts w:ascii="Segoe UI" w:eastAsia="Times New Roman" w:hAnsi="Segoe UI" w:cs="Segoe UI"/>
          <w:sz w:val="18"/>
          <w:szCs w:val="18"/>
          <w:lang w:eastAsia="es-CO"/>
        </w:rPr>
        <w:t>Señaló que el hecho de que el Decreto 4956 viola el principio de determinación y de razonabilidad de los actos y las normas al prever que para tener derecho a la exención se debe solicitar por escrito y anexar el RUT con fecha de expedición no superior a 30 días calendario. Para el demandante, estas previsiones hacen engorroso el trámite de acceder a la exención, pues la Ley 1450 de 2011 no contempla estos requisitos.</w:t>
      </w:r>
    </w:p>
    <w:p w:rsidR="00951067" w:rsidRPr="00951067" w:rsidRDefault="00951067" w:rsidP="00951067">
      <w:pPr>
        <w:spacing w:line="240" w:lineRule="auto"/>
        <w:rPr>
          <w:rFonts w:ascii="Arial" w:eastAsia="Times New Roman" w:hAnsi="Arial" w:cs="Arial"/>
          <w:sz w:val="18"/>
          <w:szCs w:val="18"/>
          <w:lang w:eastAsia="es-CO"/>
        </w:rPr>
      </w:pPr>
      <w:r w:rsidRPr="00951067">
        <w:rPr>
          <w:rFonts w:ascii="Segoe UI" w:eastAsia="Times New Roman" w:hAnsi="Segoe UI" w:cs="Segoe UI"/>
          <w:sz w:val="18"/>
          <w:szCs w:val="18"/>
          <w:lang w:eastAsia="es-CO"/>
        </w:rPr>
        <w:t> </w:t>
      </w:r>
    </w:p>
    <w:p w:rsidR="00951067" w:rsidRPr="00951067" w:rsidRDefault="00951067" w:rsidP="00951067">
      <w:pPr>
        <w:spacing w:line="240" w:lineRule="auto"/>
        <w:rPr>
          <w:rFonts w:ascii="Arial" w:eastAsia="Times New Roman" w:hAnsi="Arial" w:cs="Arial"/>
          <w:sz w:val="18"/>
          <w:szCs w:val="18"/>
          <w:lang w:eastAsia="es-CO"/>
        </w:rPr>
      </w:pPr>
      <w:r w:rsidRPr="00951067">
        <w:rPr>
          <w:rFonts w:ascii="Segoe UI" w:eastAsia="Times New Roman" w:hAnsi="Segoe UI" w:cs="Segoe UI"/>
          <w:sz w:val="18"/>
          <w:szCs w:val="18"/>
          <w:lang w:eastAsia="es-CO"/>
        </w:rPr>
        <w:t>En el caso de la fecha de expedición del RUT, dijo que era un requisito imposible de cumplir, porque este documento solo contenía la fecha de impresión lo que es diferente a la fecha de expedición. Esto llevó, a como afirmó la demandada, a modificar el formato del RUT para adecuarlo al decreto acusado.</w:t>
      </w:r>
    </w:p>
    <w:p w:rsidR="00951067" w:rsidRPr="00951067" w:rsidRDefault="00951067" w:rsidP="00951067">
      <w:pPr>
        <w:spacing w:line="240" w:lineRule="auto"/>
        <w:rPr>
          <w:rFonts w:ascii="Arial" w:eastAsia="Times New Roman" w:hAnsi="Arial" w:cs="Arial"/>
          <w:sz w:val="18"/>
          <w:szCs w:val="18"/>
          <w:lang w:eastAsia="es-CO"/>
        </w:rPr>
      </w:pPr>
      <w:r w:rsidRPr="00951067">
        <w:rPr>
          <w:rFonts w:ascii="Segoe UI" w:eastAsia="Times New Roman" w:hAnsi="Segoe UI" w:cs="Segoe UI"/>
          <w:sz w:val="18"/>
          <w:szCs w:val="18"/>
          <w:lang w:eastAsia="es-CO"/>
        </w:rPr>
        <w:t> </w:t>
      </w:r>
    </w:p>
    <w:p w:rsidR="00951067" w:rsidRPr="00951067" w:rsidRDefault="00951067" w:rsidP="00951067">
      <w:pPr>
        <w:spacing w:line="240" w:lineRule="auto"/>
        <w:rPr>
          <w:rFonts w:ascii="Arial" w:eastAsia="Times New Roman" w:hAnsi="Arial" w:cs="Arial"/>
          <w:sz w:val="18"/>
          <w:szCs w:val="18"/>
          <w:lang w:eastAsia="es-CO"/>
        </w:rPr>
      </w:pPr>
      <w:r w:rsidRPr="00951067">
        <w:rPr>
          <w:rFonts w:ascii="Segoe UI" w:eastAsia="Times New Roman" w:hAnsi="Segoe UI" w:cs="Segoe UI"/>
          <w:sz w:val="18"/>
          <w:szCs w:val="18"/>
          <w:lang w:eastAsia="es-CO"/>
        </w:rPr>
        <w:t>En cuanto a la solicitud escrita para acceder a la exención, afirmó que este requisito ha generado confusión, pues las empresas de servicios públicos domiciliarios han interpretado, equivocadamente, que el derecho a la exención surge a partir del momento en que se presenta la solicitud.</w:t>
      </w:r>
    </w:p>
    <w:p w:rsidR="00951067" w:rsidRPr="00951067" w:rsidRDefault="00951067" w:rsidP="00951067">
      <w:pPr>
        <w:spacing w:line="240" w:lineRule="auto"/>
        <w:rPr>
          <w:rFonts w:ascii="Arial" w:eastAsia="Times New Roman" w:hAnsi="Arial" w:cs="Arial"/>
          <w:sz w:val="18"/>
          <w:szCs w:val="18"/>
          <w:lang w:eastAsia="es-CO"/>
        </w:rPr>
      </w:pPr>
      <w:r w:rsidRPr="00951067">
        <w:rPr>
          <w:rFonts w:ascii="Segoe UI" w:eastAsia="Times New Roman" w:hAnsi="Segoe UI" w:cs="Segoe UI"/>
          <w:sz w:val="18"/>
          <w:szCs w:val="18"/>
          <w:lang w:eastAsia="es-CO"/>
        </w:rPr>
        <w:t> </w:t>
      </w:r>
    </w:p>
    <w:p w:rsidR="00951067" w:rsidRPr="00951067" w:rsidRDefault="00951067" w:rsidP="00951067">
      <w:pPr>
        <w:spacing w:line="240" w:lineRule="auto"/>
        <w:rPr>
          <w:rFonts w:ascii="Arial" w:eastAsia="Times New Roman" w:hAnsi="Arial" w:cs="Arial"/>
          <w:sz w:val="18"/>
          <w:szCs w:val="18"/>
          <w:lang w:eastAsia="es-CO"/>
        </w:rPr>
      </w:pPr>
      <w:r w:rsidRPr="00951067">
        <w:rPr>
          <w:rFonts w:ascii="Segoe UI" w:eastAsia="Times New Roman" w:hAnsi="Segoe UI" w:cs="Segoe UI"/>
          <w:sz w:val="18"/>
          <w:szCs w:val="18"/>
          <w:lang w:eastAsia="es-CO"/>
        </w:rPr>
        <w:lastRenderedPageBreak/>
        <w:t>Precisó que el parágrafo 2 del artículo 4 del Decreto demandado viola el artículo 153 de la Ley 142 de 1994, por indebida aplicación, al establecer un término de 15 días hábiles para resolver la solicitud para obtener la exención, pues esa norma no prevé dicho plazo.</w:t>
      </w:r>
    </w:p>
    <w:p w:rsidR="00951067" w:rsidRPr="00951067" w:rsidRDefault="00951067" w:rsidP="00951067">
      <w:pPr>
        <w:spacing w:line="240" w:lineRule="auto"/>
        <w:rPr>
          <w:rFonts w:ascii="Arial" w:eastAsia="Times New Roman" w:hAnsi="Arial" w:cs="Arial"/>
          <w:sz w:val="18"/>
          <w:szCs w:val="18"/>
          <w:lang w:eastAsia="es-CO"/>
        </w:rPr>
      </w:pPr>
      <w:r w:rsidRPr="00951067">
        <w:rPr>
          <w:rFonts w:ascii="Segoe UI" w:eastAsia="Times New Roman" w:hAnsi="Segoe UI" w:cs="Segoe UI"/>
          <w:sz w:val="18"/>
          <w:szCs w:val="18"/>
          <w:lang w:eastAsia="es-CO"/>
        </w:rPr>
        <w:t> </w:t>
      </w:r>
    </w:p>
    <w:p w:rsidR="00951067" w:rsidRPr="00951067" w:rsidRDefault="00951067" w:rsidP="00951067">
      <w:pPr>
        <w:spacing w:line="240" w:lineRule="auto"/>
        <w:rPr>
          <w:rFonts w:ascii="Arial" w:eastAsia="Times New Roman" w:hAnsi="Arial" w:cs="Arial"/>
          <w:sz w:val="18"/>
          <w:szCs w:val="18"/>
          <w:lang w:eastAsia="es-CO"/>
        </w:rPr>
      </w:pPr>
      <w:r w:rsidRPr="00951067">
        <w:rPr>
          <w:rFonts w:ascii="Segoe UI" w:eastAsia="Times New Roman" w:hAnsi="Segoe UI" w:cs="Segoe UI"/>
          <w:sz w:val="18"/>
          <w:szCs w:val="18"/>
          <w:lang w:eastAsia="es-CO"/>
        </w:rPr>
        <w:t>El </w:t>
      </w:r>
      <w:r w:rsidRPr="00951067">
        <w:rPr>
          <w:rFonts w:ascii="Segoe UI" w:eastAsia="Times New Roman" w:hAnsi="Segoe UI" w:cs="Segoe UI"/>
          <w:b/>
          <w:bCs/>
          <w:sz w:val="18"/>
          <w:szCs w:val="18"/>
          <w:lang w:eastAsia="es-CO"/>
        </w:rPr>
        <w:t>apoderado del Ministerio de Hacienda</w:t>
      </w:r>
      <w:r w:rsidRPr="00951067">
        <w:rPr>
          <w:rFonts w:ascii="Segoe UI" w:eastAsia="Times New Roman" w:hAnsi="Segoe UI" w:cs="Segoe UI"/>
          <w:sz w:val="18"/>
          <w:szCs w:val="18"/>
          <w:lang w:eastAsia="es-CO"/>
        </w:rPr>
        <w:t> presentó sus alegatos en los siguientes términos:</w:t>
      </w:r>
    </w:p>
    <w:p w:rsidR="00951067" w:rsidRPr="00951067" w:rsidRDefault="00951067" w:rsidP="00951067">
      <w:pPr>
        <w:spacing w:line="240" w:lineRule="auto"/>
        <w:rPr>
          <w:rFonts w:ascii="Arial" w:eastAsia="Times New Roman" w:hAnsi="Arial" w:cs="Arial"/>
          <w:sz w:val="18"/>
          <w:szCs w:val="18"/>
          <w:lang w:eastAsia="es-CO"/>
        </w:rPr>
      </w:pPr>
      <w:r w:rsidRPr="00951067">
        <w:rPr>
          <w:rFonts w:ascii="Segoe UI" w:eastAsia="Times New Roman" w:hAnsi="Segoe UI" w:cs="Segoe UI"/>
          <w:sz w:val="18"/>
          <w:szCs w:val="18"/>
          <w:lang w:eastAsia="es-CO"/>
        </w:rPr>
        <w:t> </w:t>
      </w:r>
    </w:p>
    <w:p w:rsidR="00951067" w:rsidRPr="00951067" w:rsidRDefault="00951067" w:rsidP="00951067">
      <w:pPr>
        <w:spacing w:line="240" w:lineRule="auto"/>
        <w:rPr>
          <w:rFonts w:ascii="Arial" w:eastAsia="Times New Roman" w:hAnsi="Arial" w:cs="Arial"/>
          <w:sz w:val="18"/>
          <w:szCs w:val="18"/>
          <w:lang w:eastAsia="es-CO"/>
        </w:rPr>
      </w:pPr>
      <w:r w:rsidRPr="00951067">
        <w:rPr>
          <w:rFonts w:ascii="Segoe UI" w:eastAsia="Times New Roman" w:hAnsi="Segoe UI" w:cs="Segoe UI"/>
          <w:sz w:val="18"/>
          <w:szCs w:val="18"/>
          <w:lang w:eastAsia="es-CO"/>
        </w:rPr>
        <w:t>Para el Ministerio de Hacienda, no existe exceso de la facultad reglamentaria del Gobierno nacional al definir los usuarios beneficiarios de la exención de la contribución de solidaridad, pues si bien es cierto que la clasificación del usuario industrial no es discrecional esta debe ajustarse a los lineamientos generales. Por ello, agregó, el Decreto se remite al RUT como único mecanismo para identificar, ubicar y clasificar los sujetos.</w:t>
      </w:r>
    </w:p>
    <w:p w:rsidR="00951067" w:rsidRPr="00951067" w:rsidRDefault="00951067" w:rsidP="00951067">
      <w:pPr>
        <w:spacing w:line="240" w:lineRule="auto"/>
        <w:rPr>
          <w:rFonts w:ascii="Arial" w:eastAsia="Times New Roman" w:hAnsi="Arial" w:cs="Arial"/>
          <w:sz w:val="18"/>
          <w:szCs w:val="18"/>
          <w:lang w:eastAsia="es-CO"/>
        </w:rPr>
      </w:pPr>
      <w:r w:rsidRPr="00951067">
        <w:rPr>
          <w:rFonts w:ascii="Segoe UI" w:eastAsia="Times New Roman" w:hAnsi="Segoe UI" w:cs="Segoe UI"/>
          <w:sz w:val="18"/>
          <w:szCs w:val="18"/>
          <w:lang w:eastAsia="es-CO"/>
        </w:rPr>
        <w:t> </w:t>
      </w:r>
    </w:p>
    <w:p w:rsidR="00951067" w:rsidRPr="00951067" w:rsidRDefault="00951067" w:rsidP="00951067">
      <w:pPr>
        <w:spacing w:line="240" w:lineRule="auto"/>
        <w:rPr>
          <w:rFonts w:ascii="Arial" w:eastAsia="Times New Roman" w:hAnsi="Arial" w:cs="Arial"/>
          <w:sz w:val="18"/>
          <w:szCs w:val="18"/>
          <w:lang w:eastAsia="es-CO"/>
        </w:rPr>
      </w:pPr>
      <w:r w:rsidRPr="00951067">
        <w:rPr>
          <w:rFonts w:ascii="Segoe UI" w:eastAsia="Times New Roman" w:hAnsi="Segoe UI" w:cs="Segoe UI"/>
          <w:sz w:val="18"/>
          <w:szCs w:val="18"/>
          <w:lang w:eastAsia="es-CO"/>
        </w:rPr>
        <w:t>Advirtió que la exención creada por el artículo 102 de la Ley 1450 cumple los estándares de justicia tributaria y establece claramente los beneficiarios de la misma. Igualmente, conmina al Gobierno nacional para que, en ejercicio de la facultad constitucional reglamentaria, realice un adecuado control de la exención, a fines de que los distintos usuarios del servicio de gas natural domiciliario</w:t>
      </w:r>
    </w:p>
    <w:p w:rsidR="00951067" w:rsidRPr="00951067" w:rsidRDefault="00951067" w:rsidP="00951067">
      <w:pPr>
        <w:spacing w:line="240" w:lineRule="auto"/>
        <w:rPr>
          <w:rFonts w:ascii="Arial" w:eastAsia="Times New Roman" w:hAnsi="Arial" w:cs="Arial"/>
          <w:sz w:val="18"/>
          <w:szCs w:val="18"/>
          <w:lang w:eastAsia="es-CO"/>
        </w:rPr>
      </w:pPr>
      <w:r w:rsidRPr="00951067">
        <w:rPr>
          <w:rFonts w:ascii="Segoe UI" w:eastAsia="Times New Roman" w:hAnsi="Segoe UI" w:cs="Segoe UI"/>
          <w:sz w:val="18"/>
          <w:szCs w:val="18"/>
          <w:lang w:eastAsia="es-CO"/>
        </w:rPr>
        <w:t> </w:t>
      </w:r>
    </w:p>
    <w:p w:rsidR="00951067" w:rsidRPr="00951067" w:rsidRDefault="00951067" w:rsidP="00951067">
      <w:pPr>
        <w:spacing w:line="240" w:lineRule="auto"/>
        <w:rPr>
          <w:rFonts w:ascii="Arial" w:eastAsia="Times New Roman" w:hAnsi="Arial" w:cs="Arial"/>
          <w:sz w:val="18"/>
          <w:szCs w:val="18"/>
          <w:lang w:eastAsia="es-CO"/>
        </w:rPr>
      </w:pPr>
      <w:r w:rsidRPr="00951067">
        <w:rPr>
          <w:rFonts w:ascii="Segoe UI" w:eastAsia="Times New Roman" w:hAnsi="Segoe UI" w:cs="Segoe UI"/>
          <w:sz w:val="18"/>
          <w:szCs w:val="18"/>
          <w:lang w:eastAsia="es-CO"/>
        </w:rPr>
        <w:t>Sostuvo que el Decreto acusado buscó hacer efectivo lo dispuesto en la Ley 1450, al definir parámetros precisos para otorgar la exención, al identificar y delimitar los usuarios industriales del servicio de gas natural domiciliario, beneficiarios de la exención.</w:t>
      </w:r>
    </w:p>
    <w:p w:rsidR="00951067" w:rsidRPr="00951067" w:rsidRDefault="00951067" w:rsidP="00951067">
      <w:pPr>
        <w:spacing w:line="240" w:lineRule="auto"/>
        <w:rPr>
          <w:rFonts w:ascii="Arial" w:eastAsia="Times New Roman" w:hAnsi="Arial" w:cs="Arial"/>
          <w:sz w:val="18"/>
          <w:szCs w:val="18"/>
          <w:lang w:eastAsia="es-CO"/>
        </w:rPr>
      </w:pPr>
      <w:r w:rsidRPr="00951067">
        <w:rPr>
          <w:rFonts w:ascii="Segoe UI" w:eastAsia="Times New Roman" w:hAnsi="Segoe UI" w:cs="Segoe UI"/>
          <w:sz w:val="18"/>
          <w:szCs w:val="18"/>
          <w:lang w:eastAsia="es-CO"/>
        </w:rPr>
        <w:t> </w:t>
      </w:r>
    </w:p>
    <w:p w:rsidR="00951067" w:rsidRPr="00951067" w:rsidRDefault="00951067" w:rsidP="00951067">
      <w:pPr>
        <w:spacing w:line="240" w:lineRule="auto"/>
        <w:rPr>
          <w:rFonts w:ascii="Arial" w:eastAsia="Times New Roman" w:hAnsi="Arial" w:cs="Arial"/>
          <w:sz w:val="18"/>
          <w:szCs w:val="18"/>
          <w:lang w:eastAsia="es-CO"/>
        </w:rPr>
      </w:pPr>
      <w:r w:rsidRPr="00951067">
        <w:rPr>
          <w:rFonts w:ascii="Segoe UI" w:eastAsia="Times New Roman" w:hAnsi="Segoe UI" w:cs="Segoe UI"/>
          <w:sz w:val="18"/>
          <w:szCs w:val="18"/>
          <w:lang w:eastAsia="es-CO"/>
        </w:rPr>
        <w:t>Aclaró que la exención se concede a partir del año 2012 y se concreta cuando el beneficiario ha cumplido las condiciones previstas en el Decreto 4956.</w:t>
      </w:r>
    </w:p>
    <w:p w:rsidR="00951067" w:rsidRPr="00951067" w:rsidRDefault="00951067" w:rsidP="00951067">
      <w:pPr>
        <w:spacing w:line="240" w:lineRule="auto"/>
        <w:rPr>
          <w:rFonts w:ascii="Arial" w:eastAsia="Times New Roman" w:hAnsi="Arial" w:cs="Arial"/>
          <w:sz w:val="18"/>
          <w:szCs w:val="18"/>
          <w:lang w:eastAsia="es-CO"/>
        </w:rPr>
      </w:pPr>
      <w:r w:rsidRPr="00951067">
        <w:rPr>
          <w:rFonts w:ascii="Segoe UI" w:eastAsia="Times New Roman" w:hAnsi="Segoe UI" w:cs="Segoe UI"/>
          <w:sz w:val="18"/>
          <w:szCs w:val="18"/>
          <w:lang w:eastAsia="es-CO"/>
        </w:rPr>
        <w:t> </w:t>
      </w:r>
    </w:p>
    <w:p w:rsidR="00951067" w:rsidRPr="00951067" w:rsidRDefault="00951067" w:rsidP="00951067">
      <w:pPr>
        <w:spacing w:line="240" w:lineRule="auto"/>
        <w:rPr>
          <w:rFonts w:ascii="Arial" w:eastAsia="Times New Roman" w:hAnsi="Arial" w:cs="Arial"/>
          <w:sz w:val="18"/>
          <w:szCs w:val="18"/>
          <w:lang w:eastAsia="es-CO"/>
        </w:rPr>
      </w:pPr>
      <w:r w:rsidRPr="00951067">
        <w:rPr>
          <w:rFonts w:ascii="Segoe UI" w:eastAsia="Times New Roman" w:hAnsi="Segoe UI" w:cs="Segoe UI"/>
          <w:sz w:val="18"/>
          <w:szCs w:val="18"/>
          <w:lang w:eastAsia="es-CO"/>
        </w:rPr>
        <w:t>En cuanto al plazo de 15 días hábiles que prevé el parágrafo 2 del artículo 4 del Decreto 4956 de 2011, dijo que este se ajusta a la normativa del derecho de petición, pues las empresas prestadoras de servicios públicos domiciliarios tienen este término para resolver todas las peticiones o recursos presentadas ante ellos. Agregó que el Decreto no hizo otra cosa que precisar, expresamente, el término de respuesta a la solicitud para obtener el beneficio de la exención.</w:t>
      </w:r>
    </w:p>
    <w:p w:rsidR="00951067" w:rsidRPr="00951067" w:rsidRDefault="00951067" w:rsidP="00951067">
      <w:pPr>
        <w:spacing w:line="240" w:lineRule="auto"/>
        <w:rPr>
          <w:rFonts w:ascii="Arial" w:eastAsia="Times New Roman" w:hAnsi="Arial" w:cs="Arial"/>
          <w:sz w:val="18"/>
          <w:szCs w:val="18"/>
          <w:lang w:eastAsia="es-CO"/>
        </w:rPr>
      </w:pPr>
      <w:r w:rsidRPr="00951067">
        <w:rPr>
          <w:rFonts w:ascii="Segoe UI" w:eastAsia="Times New Roman" w:hAnsi="Segoe UI" w:cs="Segoe UI"/>
          <w:sz w:val="18"/>
          <w:szCs w:val="18"/>
          <w:lang w:eastAsia="es-CO"/>
        </w:rPr>
        <w:t> </w:t>
      </w:r>
    </w:p>
    <w:p w:rsidR="00951067" w:rsidRPr="00951067" w:rsidRDefault="00951067" w:rsidP="00951067">
      <w:pPr>
        <w:spacing w:line="240" w:lineRule="auto"/>
        <w:textAlignment w:val="baseline"/>
        <w:rPr>
          <w:rFonts w:ascii="Arial" w:eastAsia="Times New Roman" w:hAnsi="Arial" w:cs="Arial"/>
          <w:sz w:val="18"/>
          <w:szCs w:val="18"/>
          <w:lang w:eastAsia="es-CO"/>
        </w:rPr>
      </w:pPr>
      <w:r w:rsidRPr="00951067">
        <w:rPr>
          <w:rFonts w:ascii="Segoe UI" w:eastAsia="Times New Roman" w:hAnsi="Segoe UI" w:cs="Segoe UI"/>
          <w:b/>
          <w:bCs/>
          <w:sz w:val="18"/>
          <w:szCs w:val="18"/>
          <w:lang w:eastAsia="es-CO"/>
        </w:rPr>
        <w:t>1.3. CONCEPTO DEL MINISTERIO PÚBLICO</w:t>
      </w:r>
    </w:p>
    <w:p w:rsidR="00951067" w:rsidRPr="00951067" w:rsidRDefault="00951067" w:rsidP="00951067">
      <w:pPr>
        <w:spacing w:line="240" w:lineRule="auto"/>
        <w:rPr>
          <w:rFonts w:ascii="Arial" w:eastAsia="Times New Roman" w:hAnsi="Arial" w:cs="Arial"/>
          <w:sz w:val="18"/>
          <w:szCs w:val="18"/>
          <w:lang w:eastAsia="es-CO"/>
        </w:rPr>
      </w:pPr>
      <w:r w:rsidRPr="00951067">
        <w:rPr>
          <w:rFonts w:ascii="Segoe UI" w:eastAsia="Times New Roman" w:hAnsi="Segoe UI" w:cs="Segoe UI"/>
          <w:b/>
          <w:bCs/>
          <w:sz w:val="18"/>
          <w:szCs w:val="18"/>
          <w:lang w:eastAsia="es-CO"/>
        </w:rPr>
        <w:t> </w:t>
      </w:r>
    </w:p>
    <w:p w:rsidR="00951067" w:rsidRPr="00951067" w:rsidRDefault="00951067" w:rsidP="00951067">
      <w:pPr>
        <w:spacing w:line="240" w:lineRule="auto"/>
        <w:rPr>
          <w:rFonts w:ascii="Arial" w:eastAsia="Times New Roman" w:hAnsi="Arial" w:cs="Arial"/>
          <w:sz w:val="18"/>
          <w:szCs w:val="18"/>
          <w:lang w:eastAsia="es-CO"/>
        </w:rPr>
      </w:pPr>
      <w:r w:rsidRPr="00951067">
        <w:rPr>
          <w:rFonts w:ascii="Segoe UI" w:eastAsia="Times New Roman" w:hAnsi="Segoe UI" w:cs="Segoe UI"/>
          <w:sz w:val="18"/>
          <w:szCs w:val="18"/>
          <w:lang w:eastAsia="es-CO"/>
        </w:rPr>
        <w:t>El </w:t>
      </w:r>
      <w:r w:rsidRPr="00951067">
        <w:rPr>
          <w:rFonts w:ascii="Segoe UI" w:eastAsia="Times New Roman" w:hAnsi="Segoe UI" w:cs="Segoe UI"/>
          <w:b/>
          <w:bCs/>
          <w:sz w:val="18"/>
          <w:szCs w:val="18"/>
          <w:lang w:eastAsia="es-CO"/>
        </w:rPr>
        <w:t>representante el Ministerio Público </w:t>
      </w:r>
      <w:r w:rsidRPr="00951067">
        <w:rPr>
          <w:rFonts w:ascii="Segoe UI" w:eastAsia="Times New Roman" w:hAnsi="Segoe UI" w:cs="Segoe UI"/>
          <w:sz w:val="18"/>
          <w:szCs w:val="18"/>
          <w:lang w:eastAsia="es-CO"/>
        </w:rPr>
        <w:t>pidió negar las pretensiones de la demanda por las siguientes razones:</w:t>
      </w:r>
    </w:p>
    <w:p w:rsidR="00951067" w:rsidRPr="00951067" w:rsidRDefault="00951067" w:rsidP="00951067">
      <w:pPr>
        <w:spacing w:line="240" w:lineRule="auto"/>
        <w:rPr>
          <w:rFonts w:ascii="Arial" w:eastAsia="Times New Roman" w:hAnsi="Arial" w:cs="Arial"/>
          <w:sz w:val="18"/>
          <w:szCs w:val="18"/>
          <w:lang w:eastAsia="es-CO"/>
        </w:rPr>
      </w:pPr>
      <w:r w:rsidRPr="00951067">
        <w:rPr>
          <w:rFonts w:ascii="Segoe UI" w:eastAsia="Times New Roman" w:hAnsi="Segoe UI" w:cs="Segoe UI"/>
          <w:b/>
          <w:bCs/>
          <w:sz w:val="18"/>
          <w:szCs w:val="18"/>
          <w:lang w:eastAsia="es-CO"/>
        </w:rPr>
        <w:t> </w:t>
      </w:r>
    </w:p>
    <w:p w:rsidR="00951067" w:rsidRPr="00951067" w:rsidRDefault="00951067" w:rsidP="00951067">
      <w:pPr>
        <w:spacing w:line="240" w:lineRule="auto"/>
        <w:rPr>
          <w:rFonts w:ascii="Arial" w:eastAsia="Times New Roman" w:hAnsi="Arial" w:cs="Arial"/>
          <w:sz w:val="18"/>
          <w:szCs w:val="18"/>
          <w:lang w:eastAsia="es-CO"/>
        </w:rPr>
      </w:pPr>
      <w:r w:rsidRPr="00951067">
        <w:rPr>
          <w:rFonts w:ascii="Segoe UI" w:eastAsia="Times New Roman" w:hAnsi="Segoe UI" w:cs="Segoe UI"/>
          <w:sz w:val="18"/>
          <w:szCs w:val="18"/>
          <w:lang w:eastAsia="es-CO"/>
        </w:rPr>
        <w:t>Dijo que no es nulo el artículo 1 del Decreto 4956 de 2011, porque la intención de la Ley 1450 de 2011 es no cobrar la contribución de solidaridad a los usuarios industriales del servicio público de gas natural domiciliario.</w:t>
      </w:r>
    </w:p>
    <w:p w:rsidR="00951067" w:rsidRPr="00951067" w:rsidRDefault="00951067" w:rsidP="00951067">
      <w:pPr>
        <w:spacing w:line="240" w:lineRule="auto"/>
        <w:rPr>
          <w:rFonts w:ascii="Arial" w:eastAsia="Times New Roman" w:hAnsi="Arial" w:cs="Arial"/>
          <w:sz w:val="18"/>
          <w:szCs w:val="18"/>
          <w:lang w:eastAsia="es-CO"/>
        </w:rPr>
      </w:pPr>
      <w:r w:rsidRPr="00951067">
        <w:rPr>
          <w:rFonts w:ascii="Segoe UI" w:eastAsia="Times New Roman" w:hAnsi="Segoe UI" w:cs="Segoe UI"/>
          <w:sz w:val="18"/>
          <w:szCs w:val="18"/>
          <w:lang w:eastAsia="es-CO"/>
        </w:rPr>
        <w:t> </w:t>
      </w:r>
    </w:p>
    <w:p w:rsidR="00951067" w:rsidRPr="00951067" w:rsidRDefault="00951067" w:rsidP="00951067">
      <w:pPr>
        <w:spacing w:line="240" w:lineRule="auto"/>
        <w:rPr>
          <w:rFonts w:ascii="Arial" w:eastAsia="Times New Roman" w:hAnsi="Arial" w:cs="Arial"/>
          <w:sz w:val="18"/>
          <w:szCs w:val="18"/>
          <w:lang w:eastAsia="es-CO"/>
        </w:rPr>
      </w:pPr>
      <w:r w:rsidRPr="00951067">
        <w:rPr>
          <w:rFonts w:ascii="Segoe UI" w:eastAsia="Times New Roman" w:hAnsi="Segoe UI" w:cs="Segoe UI"/>
          <w:sz w:val="18"/>
          <w:szCs w:val="18"/>
          <w:lang w:eastAsia="es-CO"/>
        </w:rPr>
        <w:t>Sostuvo que la clasificación de usuarios industriales que hace el Decreto demandado es acertada y permite aplicar el beneficio tributario a quienes realmente va dirigido, además de que es una forma de controlar que otros sujetos que no tengan esa calidad, se sustraigan del pago de la contribución, solo porque dentro de sus actividades secundarias aparezca relacionada alguna actividad industrial.</w:t>
      </w:r>
    </w:p>
    <w:p w:rsidR="00951067" w:rsidRPr="00951067" w:rsidRDefault="00951067" w:rsidP="00951067">
      <w:pPr>
        <w:spacing w:line="240" w:lineRule="auto"/>
        <w:rPr>
          <w:rFonts w:ascii="Arial" w:eastAsia="Times New Roman" w:hAnsi="Arial" w:cs="Arial"/>
          <w:sz w:val="18"/>
          <w:szCs w:val="18"/>
          <w:lang w:eastAsia="es-CO"/>
        </w:rPr>
      </w:pPr>
      <w:r w:rsidRPr="00951067">
        <w:rPr>
          <w:rFonts w:ascii="Segoe UI" w:eastAsia="Times New Roman" w:hAnsi="Segoe UI" w:cs="Segoe UI"/>
          <w:sz w:val="18"/>
          <w:szCs w:val="18"/>
          <w:lang w:eastAsia="es-CO"/>
        </w:rPr>
        <w:t> </w:t>
      </w:r>
    </w:p>
    <w:p w:rsidR="00951067" w:rsidRPr="00951067" w:rsidRDefault="00951067" w:rsidP="00951067">
      <w:pPr>
        <w:spacing w:line="240" w:lineRule="auto"/>
        <w:rPr>
          <w:rFonts w:ascii="Arial" w:eastAsia="Times New Roman" w:hAnsi="Arial" w:cs="Arial"/>
          <w:sz w:val="18"/>
          <w:szCs w:val="18"/>
          <w:lang w:eastAsia="es-CO"/>
        </w:rPr>
      </w:pPr>
      <w:r w:rsidRPr="00951067">
        <w:rPr>
          <w:rFonts w:ascii="Segoe UI" w:eastAsia="Times New Roman" w:hAnsi="Segoe UI" w:cs="Segoe UI"/>
          <w:sz w:val="18"/>
          <w:szCs w:val="18"/>
          <w:lang w:eastAsia="es-CO"/>
        </w:rPr>
        <w:t>En cuanto a que el Decreto requiera el RUT con una fecha de expedición no mayor a 30 días, señaló que no existe confusión alguna porque la fecha de impresión del documento es equivalente a la fecha de expedición, como lo ha dicho la DIAN.</w:t>
      </w:r>
    </w:p>
    <w:p w:rsidR="00951067" w:rsidRPr="00951067" w:rsidRDefault="00951067" w:rsidP="00951067">
      <w:pPr>
        <w:spacing w:line="240" w:lineRule="auto"/>
        <w:rPr>
          <w:rFonts w:ascii="Arial" w:eastAsia="Times New Roman" w:hAnsi="Arial" w:cs="Arial"/>
          <w:sz w:val="18"/>
          <w:szCs w:val="18"/>
          <w:lang w:eastAsia="es-CO"/>
        </w:rPr>
      </w:pPr>
      <w:r w:rsidRPr="00951067">
        <w:rPr>
          <w:rFonts w:ascii="Segoe UI" w:eastAsia="Times New Roman" w:hAnsi="Segoe UI" w:cs="Segoe UI"/>
          <w:sz w:val="18"/>
          <w:szCs w:val="18"/>
          <w:lang w:eastAsia="es-CO"/>
        </w:rPr>
        <w:t> </w:t>
      </w:r>
    </w:p>
    <w:p w:rsidR="00951067" w:rsidRPr="00951067" w:rsidRDefault="00951067" w:rsidP="00951067">
      <w:pPr>
        <w:spacing w:line="240" w:lineRule="auto"/>
        <w:rPr>
          <w:rFonts w:ascii="Arial" w:eastAsia="Times New Roman" w:hAnsi="Arial" w:cs="Arial"/>
          <w:sz w:val="18"/>
          <w:szCs w:val="18"/>
          <w:lang w:eastAsia="es-CO"/>
        </w:rPr>
      </w:pPr>
      <w:r w:rsidRPr="00951067">
        <w:rPr>
          <w:rFonts w:ascii="Segoe UI" w:eastAsia="Times New Roman" w:hAnsi="Segoe UI" w:cs="Segoe UI"/>
          <w:sz w:val="18"/>
          <w:szCs w:val="18"/>
          <w:lang w:eastAsia="es-CO"/>
        </w:rPr>
        <w:t>Frente al término de 15 días hábiles para resolver la solicitud de la exención, dijo que lo que hizo el parágrafo 2 del artículo 4 del Decreto acusado fue precisar término que el artículo 6 del C.C.A. prevé para resolver las solicitudes presentadas ante la Administración.</w:t>
      </w:r>
    </w:p>
    <w:p w:rsidR="00951067" w:rsidRPr="00951067" w:rsidRDefault="00951067" w:rsidP="00951067">
      <w:pPr>
        <w:spacing w:line="240" w:lineRule="auto"/>
        <w:rPr>
          <w:rFonts w:ascii="Arial" w:eastAsia="Times New Roman" w:hAnsi="Arial" w:cs="Arial"/>
          <w:sz w:val="18"/>
          <w:szCs w:val="18"/>
          <w:lang w:eastAsia="es-CO"/>
        </w:rPr>
      </w:pPr>
      <w:r w:rsidRPr="00951067">
        <w:rPr>
          <w:rFonts w:ascii="Segoe UI" w:eastAsia="Times New Roman" w:hAnsi="Segoe UI" w:cs="Segoe UI"/>
          <w:sz w:val="18"/>
          <w:szCs w:val="18"/>
          <w:lang w:eastAsia="es-CO"/>
        </w:rPr>
        <w:t> </w:t>
      </w:r>
    </w:p>
    <w:p w:rsidR="00951067" w:rsidRPr="00951067" w:rsidRDefault="00951067" w:rsidP="00951067">
      <w:pPr>
        <w:spacing w:line="240" w:lineRule="auto"/>
        <w:rPr>
          <w:rFonts w:ascii="Arial" w:eastAsia="Times New Roman" w:hAnsi="Arial" w:cs="Arial"/>
          <w:sz w:val="18"/>
          <w:szCs w:val="18"/>
          <w:lang w:eastAsia="es-CO"/>
        </w:rPr>
      </w:pPr>
      <w:r w:rsidRPr="00951067">
        <w:rPr>
          <w:rFonts w:ascii="Segoe UI" w:eastAsia="Times New Roman" w:hAnsi="Segoe UI" w:cs="Segoe UI"/>
          <w:sz w:val="18"/>
          <w:szCs w:val="18"/>
          <w:lang w:eastAsia="es-CO"/>
        </w:rPr>
        <w:t>Señaló que el artículo 5 del Decreto acusado no viola el Decreto Ley 019 de 2012 (</w:t>
      </w:r>
      <w:proofErr w:type="spellStart"/>
      <w:r w:rsidRPr="00951067">
        <w:rPr>
          <w:rFonts w:ascii="Segoe UI" w:eastAsia="Times New Roman" w:hAnsi="Segoe UI" w:cs="Segoe UI"/>
          <w:sz w:val="18"/>
          <w:szCs w:val="18"/>
          <w:lang w:eastAsia="es-CO"/>
        </w:rPr>
        <w:t>antitrámites</w:t>
      </w:r>
      <w:proofErr w:type="spellEnd"/>
      <w:r w:rsidRPr="00951067">
        <w:rPr>
          <w:rFonts w:ascii="Segoe UI" w:eastAsia="Times New Roman" w:hAnsi="Segoe UI" w:cs="Segoe UI"/>
          <w:sz w:val="18"/>
          <w:szCs w:val="18"/>
          <w:lang w:eastAsia="es-CO"/>
        </w:rPr>
        <w:t>), porque esa norma fue expedida con posterioridad al Decreto 4956 de 2011. De tal forma que no es posible que la norma acusada violara una norma que no existía al momento de su expedición.</w:t>
      </w:r>
    </w:p>
    <w:p w:rsidR="00951067" w:rsidRPr="00951067" w:rsidRDefault="00951067" w:rsidP="00951067">
      <w:pPr>
        <w:spacing w:line="240" w:lineRule="auto"/>
        <w:rPr>
          <w:rFonts w:ascii="Arial" w:eastAsia="Times New Roman" w:hAnsi="Arial" w:cs="Arial"/>
          <w:sz w:val="18"/>
          <w:szCs w:val="18"/>
          <w:lang w:eastAsia="es-CO"/>
        </w:rPr>
      </w:pPr>
      <w:r w:rsidRPr="00951067">
        <w:rPr>
          <w:rFonts w:ascii="Segoe UI" w:eastAsia="Times New Roman" w:hAnsi="Segoe UI" w:cs="Segoe UI"/>
          <w:sz w:val="18"/>
          <w:szCs w:val="18"/>
          <w:lang w:eastAsia="es-CO"/>
        </w:rPr>
        <w:t> </w:t>
      </w:r>
    </w:p>
    <w:p w:rsidR="00951067" w:rsidRPr="00951067" w:rsidRDefault="00951067" w:rsidP="00951067">
      <w:pPr>
        <w:spacing w:line="240" w:lineRule="auto"/>
        <w:rPr>
          <w:rFonts w:ascii="Arial" w:eastAsia="Times New Roman" w:hAnsi="Arial" w:cs="Arial"/>
          <w:sz w:val="18"/>
          <w:szCs w:val="18"/>
          <w:lang w:eastAsia="es-CO"/>
        </w:rPr>
      </w:pPr>
      <w:r w:rsidRPr="00951067">
        <w:rPr>
          <w:rFonts w:ascii="Segoe UI" w:eastAsia="Times New Roman" w:hAnsi="Segoe UI" w:cs="Segoe UI"/>
          <w:sz w:val="18"/>
          <w:szCs w:val="18"/>
          <w:lang w:eastAsia="es-CO"/>
        </w:rPr>
        <w:t>También, dijo que se ajusta a derecho la exigencia de presentar el RUT cada 6 meses, pues con esto se prueba que el beneficiario de la exención aun ejerce como actividad principal una actividad industrial, para conservar el beneficio.</w:t>
      </w:r>
    </w:p>
    <w:p w:rsidR="00951067" w:rsidRPr="00951067" w:rsidRDefault="00951067" w:rsidP="00951067">
      <w:pPr>
        <w:spacing w:line="240" w:lineRule="auto"/>
        <w:jc w:val="center"/>
        <w:rPr>
          <w:rFonts w:ascii="Arial" w:eastAsia="Times New Roman" w:hAnsi="Arial" w:cs="Arial"/>
          <w:sz w:val="18"/>
          <w:szCs w:val="18"/>
          <w:lang w:eastAsia="es-CO"/>
        </w:rPr>
      </w:pPr>
      <w:r w:rsidRPr="00951067">
        <w:rPr>
          <w:rFonts w:ascii="Segoe UI" w:eastAsia="Times New Roman" w:hAnsi="Segoe UI" w:cs="Segoe UI"/>
          <w:sz w:val="18"/>
          <w:szCs w:val="18"/>
          <w:lang w:eastAsia="es-CO"/>
        </w:rPr>
        <w:t> </w:t>
      </w:r>
    </w:p>
    <w:p w:rsidR="00951067" w:rsidRPr="00951067" w:rsidRDefault="00951067" w:rsidP="00951067">
      <w:pPr>
        <w:spacing w:line="240" w:lineRule="auto"/>
        <w:jc w:val="center"/>
        <w:textAlignment w:val="baseline"/>
        <w:rPr>
          <w:rFonts w:ascii="Arial" w:eastAsia="Times New Roman" w:hAnsi="Arial" w:cs="Arial"/>
          <w:sz w:val="18"/>
          <w:szCs w:val="18"/>
          <w:lang w:eastAsia="es-CO"/>
        </w:rPr>
      </w:pPr>
      <w:r w:rsidRPr="00951067">
        <w:rPr>
          <w:rFonts w:ascii="Segoe UI" w:eastAsia="Times New Roman" w:hAnsi="Segoe UI" w:cs="Segoe UI"/>
          <w:b/>
          <w:bCs/>
          <w:sz w:val="18"/>
          <w:szCs w:val="18"/>
          <w:lang w:eastAsia="es-CO"/>
        </w:rPr>
        <w:t>2. CONSIDERACIONES DE LA SALA</w:t>
      </w:r>
    </w:p>
    <w:p w:rsidR="00951067" w:rsidRPr="00951067" w:rsidRDefault="00951067" w:rsidP="00951067">
      <w:pPr>
        <w:spacing w:line="240" w:lineRule="auto"/>
        <w:rPr>
          <w:rFonts w:ascii="Arial" w:eastAsia="Times New Roman" w:hAnsi="Arial" w:cs="Arial"/>
          <w:sz w:val="18"/>
          <w:szCs w:val="18"/>
          <w:lang w:eastAsia="es-CO"/>
        </w:rPr>
      </w:pPr>
      <w:r w:rsidRPr="00951067">
        <w:rPr>
          <w:rFonts w:ascii="Segoe UI" w:eastAsia="Times New Roman" w:hAnsi="Segoe UI" w:cs="Segoe UI"/>
          <w:sz w:val="18"/>
          <w:szCs w:val="18"/>
          <w:lang w:eastAsia="es-CO"/>
        </w:rPr>
        <w:t> </w:t>
      </w:r>
    </w:p>
    <w:p w:rsidR="00951067" w:rsidRPr="00951067" w:rsidRDefault="00951067" w:rsidP="00951067">
      <w:pPr>
        <w:spacing w:line="240" w:lineRule="auto"/>
        <w:rPr>
          <w:rFonts w:ascii="Arial" w:eastAsia="Times New Roman" w:hAnsi="Arial" w:cs="Arial"/>
          <w:sz w:val="18"/>
          <w:szCs w:val="18"/>
          <w:lang w:eastAsia="es-CO"/>
        </w:rPr>
      </w:pPr>
      <w:r w:rsidRPr="00951067">
        <w:rPr>
          <w:rFonts w:ascii="Segoe UI" w:eastAsia="Times New Roman" w:hAnsi="Segoe UI" w:cs="Segoe UI"/>
          <w:sz w:val="18"/>
          <w:szCs w:val="18"/>
          <w:lang w:eastAsia="es-CO"/>
        </w:rPr>
        <w:t>Teniendo en cuenta los alegatos de las partes, la Sala resuelve los problemas jurídicos planteados en la audiencia inicial llevada a cabo el 9 de febrero de 2017, en el orden en que fueron propuestos.</w:t>
      </w:r>
    </w:p>
    <w:p w:rsidR="00951067" w:rsidRPr="00951067" w:rsidRDefault="00951067" w:rsidP="00951067">
      <w:pPr>
        <w:spacing w:line="240" w:lineRule="auto"/>
        <w:rPr>
          <w:rFonts w:ascii="Arial" w:eastAsia="Times New Roman" w:hAnsi="Arial" w:cs="Arial"/>
          <w:sz w:val="18"/>
          <w:szCs w:val="18"/>
          <w:lang w:eastAsia="es-CO"/>
        </w:rPr>
      </w:pPr>
      <w:r w:rsidRPr="00951067">
        <w:rPr>
          <w:rFonts w:ascii="Segoe UI" w:eastAsia="Times New Roman" w:hAnsi="Segoe UI" w:cs="Segoe UI"/>
          <w:b/>
          <w:bCs/>
          <w:sz w:val="18"/>
          <w:szCs w:val="18"/>
          <w:lang w:eastAsia="es-CO"/>
        </w:rPr>
        <w:t> </w:t>
      </w:r>
    </w:p>
    <w:p w:rsidR="00951067" w:rsidRPr="00951067" w:rsidRDefault="00951067" w:rsidP="00951067">
      <w:pPr>
        <w:spacing w:line="240" w:lineRule="auto"/>
        <w:rPr>
          <w:rFonts w:ascii="Arial" w:eastAsia="Times New Roman" w:hAnsi="Arial" w:cs="Arial"/>
          <w:sz w:val="18"/>
          <w:szCs w:val="18"/>
          <w:lang w:eastAsia="es-CO"/>
        </w:rPr>
      </w:pPr>
      <w:r w:rsidRPr="00951067">
        <w:rPr>
          <w:rFonts w:ascii="Segoe UI" w:eastAsia="Times New Roman" w:hAnsi="Segoe UI" w:cs="Segoe UI"/>
          <w:b/>
          <w:bCs/>
          <w:sz w:val="18"/>
          <w:szCs w:val="18"/>
          <w:lang w:eastAsia="es-CO"/>
        </w:rPr>
        <w:t>1.2.1. Primer problema jurídico</w:t>
      </w:r>
    </w:p>
    <w:p w:rsidR="00951067" w:rsidRPr="00951067" w:rsidRDefault="00951067" w:rsidP="00951067">
      <w:pPr>
        <w:spacing w:line="240" w:lineRule="auto"/>
        <w:rPr>
          <w:rFonts w:ascii="Arial" w:eastAsia="Times New Roman" w:hAnsi="Arial" w:cs="Arial"/>
          <w:sz w:val="18"/>
          <w:szCs w:val="18"/>
          <w:lang w:eastAsia="es-CO"/>
        </w:rPr>
      </w:pPr>
      <w:r w:rsidRPr="00951067">
        <w:rPr>
          <w:rFonts w:ascii="Segoe UI" w:eastAsia="Times New Roman" w:hAnsi="Segoe UI" w:cs="Segoe UI"/>
          <w:sz w:val="18"/>
          <w:szCs w:val="18"/>
          <w:lang w:eastAsia="es-CO"/>
        </w:rPr>
        <w:lastRenderedPageBreak/>
        <w:t> </w:t>
      </w:r>
    </w:p>
    <w:p w:rsidR="00951067" w:rsidRPr="00951067" w:rsidRDefault="00951067" w:rsidP="00951067">
      <w:pPr>
        <w:spacing w:line="240" w:lineRule="auto"/>
        <w:rPr>
          <w:rFonts w:ascii="Arial" w:eastAsia="Times New Roman" w:hAnsi="Arial" w:cs="Arial"/>
          <w:sz w:val="18"/>
          <w:szCs w:val="18"/>
          <w:lang w:eastAsia="es-CO"/>
        </w:rPr>
      </w:pPr>
      <w:r w:rsidRPr="00951067">
        <w:rPr>
          <w:rFonts w:ascii="Segoe UI" w:eastAsia="Times New Roman" w:hAnsi="Segoe UI" w:cs="Segoe UI"/>
          <w:sz w:val="18"/>
          <w:szCs w:val="18"/>
          <w:lang w:eastAsia="es-CO"/>
        </w:rPr>
        <w:t>¿El Decreto 4956 de 2011 viola los artículos 338 de la Constitución Política y 102 de la Ley 1450 de 2011, por falta de competencia, vale decir, por exceso en el ejercicio de la facultad reglamentaria, al establecer que solo los usuarios industriales de gas natural domiciliario, cuya actividad económica principal corresponda, exclusivamente, a los códigos 011 a 456 de la Resolución 00432 de 2008, son los beneficiarios de la exención de la contribución de solidaridad?</w:t>
      </w:r>
    </w:p>
    <w:p w:rsidR="00951067" w:rsidRPr="00951067" w:rsidRDefault="00951067" w:rsidP="00951067">
      <w:pPr>
        <w:spacing w:line="240" w:lineRule="auto"/>
        <w:rPr>
          <w:rFonts w:ascii="Arial" w:eastAsia="Times New Roman" w:hAnsi="Arial" w:cs="Arial"/>
          <w:sz w:val="18"/>
          <w:szCs w:val="18"/>
          <w:lang w:eastAsia="es-CO"/>
        </w:rPr>
      </w:pPr>
      <w:r w:rsidRPr="00951067">
        <w:rPr>
          <w:rFonts w:ascii="Segoe UI" w:eastAsia="Times New Roman" w:hAnsi="Segoe UI" w:cs="Segoe UI"/>
          <w:sz w:val="18"/>
          <w:szCs w:val="18"/>
          <w:lang w:eastAsia="es-CO"/>
        </w:rPr>
        <w:t> </w:t>
      </w:r>
    </w:p>
    <w:p w:rsidR="00951067" w:rsidRPr="00951067" w:rsidRDefault="00951067" w:rsidP="00951067">
      <w:pPr>
        <w:spacing w:line="240" w:lineRule="auto"/>
        <w:rPr>
          <w:rFonts w:ascii="Arial" w:eastAsia="Times New Roman" w:hAnsi="Arial" w:cs="Arial"/>
          <w:sz w:val="18"/>
          <w:szCs w:val="18"/>
          <w:lang w:eastAsia="es-CO"/>
        </w:rPr>
      </w:pPr>
      <w:r w:rsidRPr="00951067">
        <w:rPr>
          <w:rFonts w:ascii="Segoe UI" w:eastAsia="Times New Roman" w:hAnsi="Segoe UI" w:cs="Segoe UI"/>
          <w:sz w:val="18"/>
          <w:szCs w:val="18"/>
          <w:lang w:eastAsia="es-CO"/>
        </w:rPr>
        <w:t>La Sala considera que no se configura esa violación.</w:t>
      </w:r>
    </w:p>
    <w:p w:rsidR="00951067" w:rsidRPr="00951067" w:rsidRDefault="00951067" w:rsidP="00951067">
      <w:pPr>
        <w:spacing w:line="240" w:lineRule="auto"/>
        <w:rPr>
          <w:rFonts w:ascii="Arial" w:eastAsia="Times New Roman" w:hAnsi="Arial" w:cs="Arial"/>
          <w:sz w:val="18"/>
          <w:szCs w:val="18"/>
          <w:lang w:eastAsia="es-CO"/>
        </w:rPr>
      </w:pPr>
      <w:r w:rsidRPr="00951067">
        <w:rPr>
          <w:rFonts w:ascii="Segoe UI" w:eastAsia="Times New Roman" w:hAnsi="Segoe UI" w:cs="Segoe UI"/>
          <w:sz w:val="18"/>
          <w:szCs w:val="18"/>
          <w:lang w:eastAsia="es-CO"/>
        </w:rPr>
        <w:t> </w:t>
      </w:r>
    </w:p>
    <w:p w:rsidR="00951067" w:rsidRPr="00951067" w:rsidRDefault="00951067" w:rsidP="00951067">
      <w:pPr>
        <w:spacing w:line="240" w:lineRule="auto"/>
        <w:rPr>
          <w:rFonts w:ascii="Arial" w:eastAsia="Times New Roman" w:hAnsi="Arial" w:cs="Arial"/>
          <w:sz w:val="18"/>
          <w:szCs w:val="18"/>
          <w:lang w:eastAsia="es-CO"/>
        </w:rPr>
      </w:pPr>
      <w:r w:rsidRPr="00951067">
        <w:rPr>
          <w:rFonts w:ascii="Segoe UI" w:eastAsia="Times New Roman" w:hAnsi="Segoe UI" w:cs="Segoe UI"/>
          <w:sz w:val="18"/>
          <w:szCs w:val="18"/>
          <w:lang w:eastAsia="es-CO"/>
        </w:rPr>
        <w:t>El artículo 338 de la Constitución Política señala que en tiempos de paz, el Congreso, las asambleas departamentales y los concejos distritales y municipales pueden imponer contribuciones fiscales o parafiscales. Dice, además, que la ley, las ordenanzas y los acuerdos deben fijar directamente los sujetos activos, los sujetos pasivos, los hechos, las bases gravables y las tarifas de los impuestos. </w:t>
      </w:r>
      <w:r w:rsidRPr="00951067">
        <w:rPr>
          <w:rFonts w:ascii="Segoe UI" w:eastAsia="Times New Roman" w:hAnsi="Segoe UI" w:cs="Segoe UI"/>
          <w:sz w:val="18"/>
          <w:szCs w:val="18"/>
          <w:shd w:val="clear" w:color="auto" w:fill="FFFFFF"/>
          <w:lang w:eastAsia="es-CO"/>
        </w:rPr>
        <w:t>De este mandato se desprende el principio de legalidad tributaria, según el cual, todos los tributos deben ser decretados por los órganos de representación popular (No ha lugar impuesto sin representación) y, además, los elementos que conforman el tributo deben estar claramente establecidos (certeza del tributo).</w:t>
      </w:r>
    </w:p>
    <w:p w:rsidR="00951067" w:rsidRPr="00951067" w:rsidRDefault="00951067" w:rsidP="00951067">
      <w:pPr>
        <w:spacing w:line="240" w:lineRule="auto"/>
        <w:rPr>
          <w:rFonts w:ascii="Arial" w:eastAsia="Times New Roman" w:hAnsi="Arial" w:cs="Arial"/>
          <w:sz w:val="18"/>
          <w:szCs w:val="18"/>
          <w:lang w:eastAsia="es-CO"/>
        </w:rPr>
      </w:pPr>
      <w:r w:rsidRPr="00951067">
        <w:rPr>
          <w:rFonts w:ascii="Segoe UI" w:eastAsia="Times New Roman" w:hAnsi="Segoe UI" w:cs="Segoe UI"/>
          <w:sz w:val="18"/>
          <w:szCs w:val="18"/>
          <w:shd w:val="clear" w:color="auto" w:fill="FFFFFF"/>
          <w:lang w:eastAsia="es-CO"/>
        </w:rPr>
        <w:t> </w:t>
      </w:r>
    </w:p>
    <w:p w:rsidR="00951067" w:rsidRPr="00951067" w:rsidRDefault="00951067" w:rsidP="00951067">
      <w:pPr>
        <w:spacing w:line="240" w:lineRule="auto"/>
        <w:rPr>
          <w:rFonts w:ascii="Arial" w:eastAsia="Times New Roman" w:hAnsi="Arial" w:cs="Arial"/>
          <w:sz w:val="18"/>
          <w:szCs w:val="18"/>
          <w:lang w:eastAsia="es-CO"/>
        </w:rPr>
      </w:pPr>
      <w:r w:rsidRPr="00951067">
        <w:rPr>
          <w:rFonts w:ascii="Segoe UI" w:eastAsia="Times New Roman" w:hAnsi="Segoe UI" w:cs="Segoe UI"/>
          <w:sz w:val="18"/>
          <w:szCs w:val="18"/>
          <w:shd w:val="clear" w:color="auto" w:fill="FFFFFF"/>
          <w:lang w:eastAsia="es-CO"/>
        </w:rPr>
        <w:t>El principio de legalidad tributaria exige que sean los órganos de elección popular los que, de manera directa, señalen los elementos esenciales del tributo, pero, además, exige que cuando fijen </w:t>
      </w:r>
      <w:r w:rsidRPr="00951067">
        <w:rPr>
          <w:rFonts w:ascii="Segoe UI" w:eastAsia="Times New Roman" w:hAnsi="Segoe UI" w:cs="Segoe UI"/>
          <w:sz w:val="18"/>
          <w:szCs w:val="18"/>
          <w:lang w:eastAsia="es-CO"/>
        </w:rPr>
        <w:t>los elementos del tributo, lo hagan con suficiente claridad y precisión, pues, de lo contrario, como lo ha señalado la Corte Constitucional, no sólo se genera inseguridad jurídica, sino que en el momento de la aplicación de las normas se permiten los abusos impositivos</w:t>
      </w:r>
      <w:bookmarkStart w:id="0" w:name="_ftnref1"/>
      <w:r w:rsidRPr="00951067">
        <w:rPr>
          <w:rFonts w:ascii="Segoe UI" w:eastAsia="Times New Roman" w:hAnsi="Segoe UI" w:cs="Segoe UI"/>
          <w:sz w:val="18"/>
          <w:szCs w:val="18"/>
          <w:lang w:eastAsia="es-CO"/>
        </w:rPr>
        <w:fldChar w:fldCharType="begin"/>
      </w:r>
      <w:r w:rsidRPr="00951067">
        <w:rPr>
          <w:rFonts w:ascii="Segoe UI" w:eastAsia="Times New Roman" w:hAnsi="Segoe UI" w:cs="Segoe UI"/>
          <w:sz w:val="18"/>
          <w:szCs w:val="18"/>
          <w:lang w:eastAsia="es-CO"/>
        </w:rPr>
        <w:instrText xml:space="preserve"> HYPERLINK "https://www.ceta.org.co/html/vista_de_un_documento.asp?DocumentoID=31827" \l "_ftn1" \o "" </w:instrText>
      </w:r>
      <w:r w:rsidRPr="00951067">
        <w:rPr>
          <w:rFonts w:ascii="Segoe UI" w:eastAsia="Times New Roman" w:hAnsi="Segoe UI" w:cs="Segoe UI"/>
          <w:sz w:val="18"/>
          <w:szCs w:val="18"/>
          <w:lang w:eastAsia="es-CO"/>
        </w:rPr>
        <w:fldChar w:fldCharType="separate"/>
      </w:r>
      <w:r w:rsidRPr="00951067">
        <w:rPr>
          <w:rFonts w:ascii="Segoe UI" w:eastAsia="Times New Roman" w:hAnsi="Segoe UI" w:cs="Segoe UI"/>
          <w:sz w:val="22"/>
          <w:lang w:eastAsia="es-CO"/>
        </w:rPr>
        <w:t>[1]</w:t>
      </w:r>
      <w:r w:rsidRPr="00951067">
        <w:rPr>
          <w:rFonts w:ascii="Segoe UI" w:eastAsia="Times New Roman" w:hAnsi="Segoe UI" w:cs="Segoe UI"/>
          <w:sz w:val="18"/>
          <w:szCs w:val="18"/>
          <w:lang w:eastAsia="es-CO"/>
        </w:rPr>
        <w:fldChar w:fldCharType="end"/>
      </w:r>
      <w:bookmarkEnd w:id="0"/>
      <w:r w:rsidRPr="00951067">
        <w:rPr>
          <w:rFonts w:ascii="Segoe UI" w:eastAsia="Times New Roman" w:hAnsi="Segoe UI" w:cs="Segoe UI"/>
          <w:sz w:val="18"/>
          <w:szCs w:val="18"/>
          <w:lang w:eastAsia="es-CO"/>
        </w:rPr>
        <w:t>.</w:t>
      </w:r>
    </w:p>
    <w:p w:rsidR="00951067" w:rsidRPr="00951067" w:rsidRDefault="00951067" w:rsidP="00951067">
      <w:pPr>
        <w:spacing w:line="240" w:lineRule="auto"/>
        <w:rPr>
          <w:rFonts w:ascii="Arial" w:eastAsia="Times New Roman" w:hAnsi="Arial" w:cs="Arial"/>
          <w:sz w:val="18"/>
          <w:szCs w:val="18"/>
          <w:lang w:eastAsia="es-CO"/>
        </w:rPr>
      </w:pPr>
      <w:r w:rsidRPr="00951067">
        <w:rPr>
          <w:rFonts w:ascii="Segoe UI" w:eastAsia="Times New Roman" w:hAnsi="Segoe UI" w:cs="Segoe UI"/>
          <w:sz w:val="18"/>
          <w:szCs w:val="18"/>
          <w:lang w:eastAsia="es-CO"/>
        </w:rPr>
        <w:t> </w:t>
      </w:r>
    </w:p>
    <w:p w:rsidR="00951067" w:rsidRPr="00951067" w:rsidRDefault="00951067" w:rsidP="00951067">
      <w:pPr>
        <w:spacing w:line="240" w:lineRule="auto"/>
        <w:rPr>
          <w:rFonts w:ascii="Arial" w:eastAsia="Times New Roman" w:hAnsi="Arial" w:cs="Arial"/>
          <w:sz w:val="18"/>
          <w:szCs w:val="18"/>
          <w:lang w:eastAsia="es-CO"/>
        </w:rPr>
      </w:pPr>
      <w:r w:rsidRPr="00951067">
        <w:rPr>
          <w:rFonts w:ascii="Segoe UI" w:eastAsia="Times New Roman" w:hAnsi="Segoe UI" w:cs="Segoe UI"/>
          <w:sz w:val="18"/>
          <w:szCs w:val="18"/>
          <w:lang w:eastAsia="es-CO"/>
        </w:rPr>
        <w:t>De la misma manera, el artículo 154 de la Constitución Política le otorga al legislador la facultad para crear, modificar o suprimir exclusiones o exenciones tributarias, por razones de política económica o para realizar la igualdad real y efectiva a partir de la iniciativa del Gobierno nacional.</w:t>
      </w:r>
    </w:p>
    <w:p w:rsidR="00951067" w:rsidRPr="00951067" w:rsidRDefault="00951067" w:rsidP="00951067">
      <w:pPr>
        <w:spacing w:line="240" w:lineRule="auto"/>
        <w:rPr>
          <w:rFonts w:ascii="Arial" w:eastAsia="Times New Roman" w:hAnsi="Arial" w:cs="Arial"/>
          <w:sz w:val="18"/>
          <w:szCs w:val="18"/>
          <w:lang w:eastAsia="es-CO"/>
        </w:rPr>
      </w:pPr>
      <w:r w:rsidRPr="00951067">
        <w:rPr>
          <w:rFonts w:ascii="Segoe UI" w:eastAsia="Times New Roman" w:hAnsi="Segoe UI" w:cs="Segoe UI"/>
          <w:sz w:val="18"/>
          <w:szCs w:val="18"/>
          <w:lang w:eastAsia="es-CO"/>
        </w:rPr>
        <w:t> </w:t>
      </w:r>
    </w:p>
    <w:p w:rsidR="00951067" w:rsidRPr="00951067" w:rsidRDefault="00951067" w:rsidP="00951067">
      <w:pPr>
        <w:shd w:val="clear" w:color="auto" w:fill="FFFFFF"/>
        <w:spacing w:line="240" w:lineRule="auto"/>
        <w:rPr>
          <w:rFonts w:ascii="Arial" w:eastAsia="Times New Roman" w:hAnsi="Arial" w:cs="Arial"/>
          <w:sz w:val="18"/>
          <w:szCs w:val="18"/>
          <w:lang w:eastAsia="es-CO"/>
        </w:rPr>
      </w:pPr>
      <w:r w:rsidRPr="00951067">
        <w:rPr>
          <w:rFonts w:ascii="Segoe UI" w:eastAsia="Times New Roman" w:hAnsi="Segoe UI" w:cs="Segoe UI"/>
          <w:sz w:val="18"/>
          <w:szCs w:val="18"/>
          <w:bdr w:val="none" w:sz="0" w:space="0" w:color="auto" w:frame="1"/>
          <w:lang w:eastAsia="es-CO"/>
        </w:rPr>
        <w:t>Las exenciones tributarias creadas por el legislador, al hacer parte de las manifestaciones de la política fiscal, también están cobijadas por los principios de legalidad y certeza. De tal forma que, los elementos principales de cualquier exención deben estar definidos previamente por el legislador, las asambleas o los concejos, en los términos de los artículos 150, numerales 10 y 12, y 338 de la Constitución. Así lo precisó la Corte Constitucional en la sentencia C-748 de 2009:</w:t>
      </w:r>
    </w:p>
    <w:p w:rsidR="00951067" w:rsidRPr="00951067" w:rsidRDefault="00951067" w:rsidP="00951067">
      <w:pPr>
        <w:shd w:val="clear" w:color="auto" w:fill="FFFFFF"/>
        <w:spacing w:line="240" w:lineRule="auto"/>
        <w:ind w:left="180"/>
        <w:rPr>
          <w:rFonts w:ascii="Arial" w:eastAsia="Times New Roman" w:hAnsi="Arial" w:cs="Arial"/>
          <w:sz w:val="18"/>
          <w:szCs w:val="18"/>
          <w:lang w:eastAsia="es-CO"/>
        </w:rPr>
      </w:pPr>
      <w:r w:rsidRPr="00951067">
        <w:rPr>
          <w:rFonts w:ascii="Segoe UI" w:eastAsia="Times New Roman" w:hAnsi="Segoe UI" w:cs="Segoe UI"/>
          <w:sz w:val="18"/>
          <w:szCs w:val="18"/>
          <w:lang w:eastAsia="es-CO"/>
        </w:rPr>
        <w:t> </w:t>
      </w:r>
    </w:p>
    <w:p w:rsidR="00951067" w:rsidRPr="00951067" w:rsidRDefault="00951067" w:rsidP="00951067">
      <w:pPr>
        <w:shd w:val="clear" w:color="auto" w:fill="FFFFFF"/>
        <w:spacing w:line="240" w:lineRule="auto"/>
        <w:ind w:left="180"/>
        <w:rPr>
          <w:rFonts w:ascii="Arial" w:eastAsia="Times New Roman" w:hAnsi="Arial" w:cs="Arial"/>
          <w:sz w:val="18"/>
          <w:szCs w:val="18"/>
          <w:lang w:eastAsia="es-CO"/>
        </w:rPr>
      </w:pPr>
      <w:r w:rsidRPr="00951067">
        <w:rPr>
          <w:rFonts w:ascii="Segoe UI" w:eastAsia="Times New Roman" w:hAnsi="Segoe UI" w:cs="Segoe UI"/>
          <w:i/>
          <w:iCs/>
          <w:sz w:val="18"/>
          <w:szCs w:val="18"/>
          <w:bdr w:val="none" w:sz="0" w:space="0" w:color="auto" w:frame="1"/>
          <w:lang w:eastAsia="es-CO"/>
        </w:rPr>
        <w:t>“Esta Corporación, en reiteradas oportunidades, ha establecido que así como el legislador goza de amplia potestad de configuración normativa para establecer tributos y definir sus elementos esenciales, es natural que, de la misma forma, goce del poder suficiente para consagrar beneficios tributarios, por razones de política económica o para realizar la igualdad real y efectiva en materia fiscal.”</w:t>
      </w:r>
    </w:p>
    <w:p w:rsidR="00951067" w:rsidRPr="00951067" w:rsidRDefault="00951067" w:rsidP="00951067">
      <w:pPr>
        <w:spacing w:line="240" w:lineRule="auto"/>
        <w:rPr>
          <w:rFonts w:ascii="Arial" w:eastAsia="Times New Roman" w:hAnsi="Arial" w:cs="Arial"/>
          <w:sz w:val="18"/>
          <w:szCs w:val="18"/>
          <w:lang w:eastAsia="es-CO"/>
        </w:rPr>
      </w:pPr>
      <w:r w:rsidRPr="00951067">
        <w:rPr>
          <w:rFonts w:ascii="Segoe UI" w:eastAsia="Times New Roman" w:hAnsi="Segoe UI" w:cs="Segoe UI"/>
          <w:sz w:val="18"/>
          <w:szCs w:val="18"/>
          <w:lang w:eastAsia="es-CO"/>
        </w:rPr>
        <w:t> </w:t>
      </w:r>
    </w:p>
    <w:p w:rsidR="00951067" w:rsidRPr="00951067" w:rsidRDefault="00951067" w:rsidP="00951067">
      <w:pPr>
        <w:spacing w:line="240" w:lineRule="auto"/>
        <w:rPr>
          <w:rFonts w:ascii="Arial" w:eastAsia="Times New Roman" w:hAnsi="Arial" w:cs="Arial"/>
          <w:sz w:val="18"/>
          <w:szCs w:val="18"/>
          <w:highlight w:val="green"/>
          <w:lang w:eastAsia="es-CO"/>
        </w:rPr>
      </w:pPr>
      <w:r w:rsidRPr="00951067">
        <w:rPr>
          <w:rFonts w:ascii="Segoe UI" w:eastAsia="Times New Roman" w:hAnsi="Segoe UI" w:cs="Segoe UI"/>
          <w:sz w:val="18"/>
          <w:szCs w:val="18"/>
          <w:highlight w:val="green"/>
          <w:lang w:eastAsia="es-CO"/>
        </w:rPr>
        <w:t>En ejercicio de esa atribución, mediante el artículo 102 de la Ley 1450 de 2011, a partir del año 2012 se exoneró a los usuarios industriales del servicio de gas natural domiciliario de la contribución de solidaridad que creó el numeral 5 del artículo 89 de la Ley 142 de 1994. Para hacer efectiva la exención a quien legalmente le corresponde, la Ley 1450 de 2011 otorgó facultades al Gobierno nacional para reglamentar lo necesario para que los prestadores del servicio de gas natural domiciliario realicen un adecuado control entre las distintas clases de usuarios de ese servicio.</w:t>
      </w:r>
    </w:p>
    <w:p w:rsidR="00951067" w:rsidRPr="00951067" w:rsidRDefault="00951067" w:rsidP="00951067">
      <w:pPr>
        <w:spacing w:line="240" w:lineRule="auto"/>
        <w:rPr>
          <w:rFonts w:ascii="Arial" w:eastAsia="Times New Roman" w:hAnsi="Arial" w:cs="Arial"/>
          <w:sz w:val="18"/>
          <w:szCs w:val="18"/>
          <w:highlight w:val="green"/>
          <w:lang w:eastAsia="es-CO"/>
        </w:rPr>
      </w:pPr>
      <w:r w:rsidRPr="00951067">
        <w:rPr>
          <w:rFonts w:ascii="Segoe UI" w:eastAsia="Times New Roman" w:hAnsi="Segoe UI" w:cs="Segoe UI"/>
          <w:sz w:val="18"/>
          <w:szCs w:val="18"/>
          <w:highlight w:val="green"/>
          <w:lang w:eastAsia="es-CO"/>
        </w:rPr>
        <w:t> </w:t>
      </w:r>
    </w:p>
    <w:p w:rsidR="00951067" w:rsidRPr="00951067" w:rsidRDefault="00951067" w:rsidP="00951067">
      <w:pPr>
        <w:spacing w:line="240" w:lineRule="auto"/>
        <w:rPr>
          <w:rFonts w:ascii="Arial" w:eastAsia="Times New Roman" w:hAnsi="Arial" w:cs="Arial"/>
          <w:sz w:val="18"/>
          <w:szCs w:val="18"/>
          <w:highlight w:val="green"/>
          <w:lang w:eastAsia="es-CO"/>
        </w:rPr>
      </w:pPr>
      <w:r w:rsidRPr="00951067">
        <w:rPr>
          <w:rFonts w:ascii="Segoe UI" w:eastAsia="Times New Roman" w:hAnsi="Segoe UI" w:cs="Segoe UI"/>
          <w:sz w:val="18"/>
          <w:szCs w:val="18"/>
          <w:highlight w:val="green"/>
          <w:shd w:val="clear" w:color="auto" w:fill="FFFFFF"/>
          <w:lang w:eastAsia="es-CO"/>
        </w:rPr>
        <w:t>Así, el gobierno nacional expidió el Decreto 4956 de 2011 [decreto demandado] para precisar que son usuarios industriales de gas natural domiciliario aquellos cuya actividad económica principal se encuentre registrada en el RUT, a 31 de diciembre de 2011, en los códigos 011 a 456 de la Resolución 00432 de 2008, expedida por la DIAN.</w:t>
      </w:r>
    </w:p>
    <w:p w:rsidR="00951067" w:rsidRPr="00951067" w:rsidRDefault="00951067" w:rsidP="00951067">
      <w:pPr>
        <w:spacing w:line="240" w:lineRule="auto"/>
        <w:rPr>
          <w:rFonts w:ascii="Arial" w:eastAsia="Times New Roman" w:hAnsi="Arial" w:cs="Arial"/>
          <w:sz w:val="18"/>
          <w:szCs w:val="18"/>
          <w:highlight w:val="green"/>
          <w:lang w:eastAsia="es-CO"/>
        </w:rPr>
      </w:pPr>
      <w:r w:rsidRPr="00951067">
        <w:rPr>
          <w:rFonts w:ascii="Segoe UI" w:eastAsia="Times New Roman" w:hAnsi="Segoe UI" w:cs="Segoe UI"/>
          <w:sz w:val="18"/>
          <w:szCs w:val="18"/>
          <w:highlight w:val="green"/>
          <w:shd w:val="clear" w:color="auto" w:fill="FFFFFF"/>
          <w:lang w:eastAsia="es-CO"/>
        </w:rPr>
        <w:t> </w:t>
      </w:r>
    </w:p>
    <w:p w:rsidR="00951067" w:rsidRPr="00951067" w:rsidRDefault="00951067" w:rsidP="00951067">
      <w:pPr>
        <w:spacing w:line="240" w:lineRule="auto"/>
        <w:rPr>
          <w:rFonts w:ascii="Arial" w:eastAsia="Times New Roman" w:hAnsi="Arial" w:cs="Arial"/>
          <w:sz w:val="18"/>
          <w:szCs w:val="18"/>
          <w:highlight w:val="green"/>
          <w:lang w:eastAsia="es-CO"/>
        </w:rPr>
      </w:pPr>
      <w:r w:rsidRPr="00951067">
        <w:rPr>
          <w:rFonts w:ascii="Segoe UI" w:eastAsia="Times New Roman" w:hAnsi="Segoe UI" w:cs="Segoe UI"/>
          <w:sz w:val="18"/>
          <w:szCs w:val="18"/>
          <w:highlight w:val="green"/>
          <w:shd w:val="clear" w:color="auto" w:fill="FFFFFF"/>
          <w:lang w:eastAsia="es-CO"/>
        </w:rPr>
        <w:t>La Resolución 432 del 19 de noviembre de 2008, expedida por la U.A.E. DIAN, contiene la clasificación de las actividades económicas para efectos del control y determinación de los impuestos y demás obligaciones tributarias, aduaneras y cambiarias administradas por esa entidad. Esta resolución contiene la Clasificación Industrial Internacional Uniforme, Revisión 3.1., adaptada para Colombia por el DANE CIIU -REV- 3.1. A.C., y contiene 17 secciones, 60 divisiones, 186 grupos y 444 clases. Los códigos 011 a 456 están incluidos en las siguientes secciones:</w:t>
      </w:r>
    </w:p>
    <w:p w:rsidR="00951067" w:rsidRPr="00951067" w:rsidRDefault="00951067" w:rsidP="00951067">
      <w:pPr>
        <w:spacing w:line="240" w:lineRule="auto"/>
        <w:rPr>
          <w:rFonts w:ascii="Arial" w:eastAsia="Times New Roman" w:hAnsi="Arial" w:cs="Arial"/>
          <w:sz w:val="18"/>
          <w:szCs w:val="18"/>
          <w:highlight w:val="green"/>
          <w:lang w:eastAsia="es-CO"/>
        </w:rPr>
      </w:pPr>
      <w:r w:rsidRPr="00951067">
        <w:rPr>
          <w:rFonts w:ascii="Segoe UI" w:eastAsia="Times New Roman" w:hAnsi="Segoe UI" w:cs="Segoe UI"/>
          <w:sz w:val="18"/>
          <w:szCs w:val="18"/>
          <w:highlight w:val="green"/>
          <w:shd w:val="clear" w:color="auto" w:fill="FFFFFF"/>
          <w:lang w:eastAsia="es-CO"/>
        </w:rPr>
        <w:t> </w:t>
      </w:r>
    </w:p>
    <w:p w:rsidR="00951067" w:rsidRPr="00951067" w:rsidRDefault="00951067" w:rsidP="00951067">
      <w:pPr>
        <w:spacing w:line="240" w:lineRule="auto"/>
        <w:rPr>
          <w:rFonts w:ascii="Arial" w:eastAsia="Times New Roman" w:hAnsi="Arial" w:cs="Arial"/>
          <w:sz w:val="18"/>
          <w:szCs w:val="18"/>
          <w:highlight w:val="green"/>
          <w:lang w:eastAsia="es-CO"/>
        </w:rPr>
      </w:pPr>
      <w:r w:rsidRPr="00951067">
        <w:rPr>
          <w:rFonts w:ascii="Segoe UI" w:eastAsia="Times New Roman" w:hAnsi="Segoe UI" w:cs="Segoe UI"/>
          <w:sz w:val="18"/>
          <w:szCs w:val="18"/>
          <w:highlight w:val="green"/>
          <w:shd w:val="clear" w:color="auto" w:fill="FFFFFF"/>
          <w:lang w:eastAsia="es-CO"/>
        </w:rPr>
        <w:t>i) Agricultura, ganadería, caza y actividades de servicio conexas;</w:t>
      </w:r>
    </w:p>
    <w:p w:rsidR="00951067" w:rsidRPr="00951067" w:rsidRDefault="00951067" w:rsidP="00951067">
      <w:pPr>
        <w:spacing w:line="240" w:lineRule="auto"/>
        <w:rPr>
          <w:rFonts w:ascii="Arial" w:eastAsia="Times New Roman" w:hAnsi="Arial" w:cs="Arial"/>
          <w:sz w:val="18"/>
          <w:szCs w:val="18"/>
          <w:highlight w:val="green"/>
          <w:lang w:eastAsia="es-CO"/>
        </w:rPr>
      </w:pPr>
      <w:r w:rsidRPr="00951067">
        <w:rPr>
          <w:rFonts w:ascii="Segoe UI" w:eastAsia="Times New Roman" w:hAnsi="Segoe UI" w:cs="Segoe UI"/>
          <w:sz w:val="18"/>
          <w:szCs w:val="18"/>
          <w:highlight w:val="green"/>
          <w:shd w:val="clear" w:color="auto" w:fill="FFFFFF"/>
          <w:lang w:eastAsia="es-CO"/>
        </w:rPr>
        <w:t>ii) Pesca;</w:t>
      </w:r>
    </w:p>
    <w:p w:rsidR="00951067" w:rsidRPr="00951067" w:rsidRDefault="00951067" w:rsidP="00951067">
      <w:pPr>
        <w:spacing w:line="240" w:lineRule="auto"/>
        <w:rPr>
          <w:rFonts w:ascii="Arial" w:eastAsia="Times New Roman" w:hAnsi="Arial" w:cs="Arial"/>
          <w:sz w:val="18"/>
          <w:szCs w:val="18"/>
          <w:highlight w:val="green"/>
          <w:lang w:eastAsia="es-CO"/>
        </w:rPr>
      </w:pPr>
      <w:r w:rsidRPr="00951067">
        <w:rPr>
          <w:rFonts w:ascii="Segoe UI" w:eastAsia="Times New Roman" w:hAnsi="Segoe UI" w:cs="Segoe UI"/>
          <w:sz w:val="18"/>
          <w:szCs w:val="18"/>
          <w:highlight w:val="green"/>
          <w:shd w:val="clear" w:color="auto" w:fill="FFFFFF"/>
          <w:lang w:eastAsia="es-CO"/>
        </w:rPr>
        <w:t>iii) Explotación de minas y canteras;</w:t>
      </w:r>
    </w:p>
    <w:p w:rsidR="00951067" w:rsidRPr="00951067" w:rsidRDefault="00951067" w:rsidP="00951067">
      <w:pPr>
        <w:spacing w:line="240" w:lineRule="auto"/>
        <w:rPr>
          <w:rFonts w:ascii="Arial" w:eastAsia="Times New Roman" w:hAnsi="Arial" w:cs="Arial"/>
          <w:sz w:val="18"/>
          <w:szCs w:val="18"/>
          <w:highlight w:val="green"/>
          <w:lang w:eastAsia="es-CO"/>
        </w:rPr>
      </w:pPr>
      <w:r w:rsidRPr="00951067">
        <w:rPr>
          <w:rFonts w:ascii="Segoe UI" w:eastAsia="Times New Roman" w:hAnsi="Segoe UI" w:cs="Segoe UI"/>
          <w:sz w:val="18"/>
          <w:szCs w:val="18"/>
          <w:highlight w:val="green"/>
          <w:shd w:val="clear" w:color="auto" w:fill="FFFFFF"/>
          <w:lang w:eastAsia="es-CO"/>
        </w:rPr>
        <w:t>iv) Industrias manufactureras;</w:t>
      </w:r>
    </w:p>
    <w:p w:rsidR="00951067" w:rsidRPr="00951067" w:rsidRDefault="00951067" w:rsidP="00951067">
      <w:pPr>
        <w:spacing w:line="240" w:lineRule="auto"/>
        <w:rPr>
          <w:rFonts w:ascii="Arial" w:eastAsia="Times New Roman" w:hAnsi="Arial" w:cs="Arial"/>
          <w:sz w:val="18"/>
          <w:szCs w:val="18"/>
          <w:highlight w:val="green"/>
          <w:lang w:eastAsia="es-CO"/>
        </w:rPr>
      </w:pPr>
      <w:r w:rsidRPr="00951067">
        <w:rPr>
          <w:rFonts w:ascii="Segoe UI" w:eastAsia="Times New Roman" w:hAnsi="Segoe UI" w:cs="Segoe UI"/>
          <w:sz w:val="18"/>
          <w:szCs w:val="18"/>
          <w:highlight w:val="green"/>
          <w:shd w:val="clear" w:color="auto" w:fill="FFFFFF"/>
          <w:lang w:eastAsia="es-CO"/>
        </w:rPr>
        <w:t>v) Suministro de electricidad, gas y agua y,</w:t>
      </w:r>
    </w:p>
    <w:p w:rsidR="00951067" w:rsidRPr="00951067" w:rsidRDefault="00951067" w:rsidP="00951067">
      <w:pPr>
        <w:spacing w:line="240" w:lineRule="auto"/>
        <w:rPr>
          <w:rFonts w:ascii="Arial" w:eastAsia="Times New Roman" w:hAnsi="Arial" w:cs="Arial"/>
          <w:sz w:val="18"/>
          <w:szCs w:val="18"/>
          <w:lang w:eastAsia="es-CO"/>
        </w:rPr>
      </w:pPr>
      <w:proofErr w:type="gramStart"/>
      <w:r w:rsidRPr="00951067">
        <w:rPr>
          <w:rFonts w:ascii="Segoe UI" w:eastAsia="Times New Roman" w:hAnsi="Segoe UI" w:cs="Segoe UI"/>
          <w:sz w:val="18"/>
          <w:szCs w:val="18"/>
          <w:highlight w:val="green"/>
          <w:shd w:val="clear" w:color="auto" w:fill="FFFFFF"/>
          <w:lang w:eastAsia="es-CO"/>
        </w:rPr>
        <w:t>vi</w:t>
      </w:r>
      <w:proofErr w:type="gramEnd"/>
      <w:r w:rsidRPr="00951067">
        <w:rPr>
          <w:rFonts w:ascii="Segoe UI" w:eastAsia="Times New Roman" w:hAnsi="Segoe UI" w:cs="Segoe UI"/>
          <w:sz w:val="18"/>
          <w:szCs w:val="18"/>
          <w:highlight w:val="green"/>
          <w:shd w:val="clear" w:color="auto" w:fill="FFFFFF"/>
          <w:lang w:eastAsia="es-CO"/>
        </w:rPr>
        <w:t>) Construcción</w:t>
      </w:r>
    </w:p>
    <w:p w:rsidR="00951067" w:rsidRPr="00951067" w:rsidRDefault="00951067" w:rsidP="00951067">
      <w:pPr>
        <w:spacing w:line="240" w:lineRule="auto"/>
        <w:rPr>
          <w:rFonts w:ascii="Arial" w:eastAsia="Times New Roman" w:hAnsi="Arial" w:cs="Arial"/>
          <w:sz w:val="18"/>
          <w:szCs w:val="18"/>
          <w:lang w:eastAsia="es-CO"/>
        </w:rPr>
      </w:pPr>
      <w:r w:rsidRPr="00951067">
        <w:rPr>
          <w:rFonts w:ascii="Segoe UI" w:eastAsia="Times New Roman" w:hAnsi="Segoe UI" w:cs="Segoe UI"/>
          <w:sz w:val="18"/>
          <w:szCs w:val="18"/>
          <w:shd w:val="clear" w:color="auto" w:fill="FFFFFF"/>
          <w:lang w:eastAsia="es-CO"/>
        </w:rPr>
        <w:lastRenderedPageBreak/>
        <w:t> </w:t>
      </w:r>
    </w:p>
    <w:p w:rsidR="00951067" w:rsidRPr="00951067" w:rsidRDefault="00951067" w:rsidP="00951067">
      <w:pPr>
        <w:spacing w:line="240" w:lineRule="auto"/>
        <w:rPr>
          <w:rFonts w:ascii="Arial" w:eastAsia="Times New Roman" w:hAnsi="Arial" w:cs="Arial"/>
          <w:sz w:val="18"/>
          <w:szCs w:val="18"/>
          <w:lang w:eastAsia="es-CO"/>
        </w:rPr>
      </w:pPr>
      <w:r w:rsidRPr="00951067">
        <w:rPr>
          <w:rFonts w:ascii="Segoe UI" w:eastAsia="Times New Roman" w:hAnsi="Segoe UI" w:cs="Segoe UI"/>
          <w:sz w:val="18"/>
          <w:szCs w:val="18"/>
          <w:lang w:eastAsia="es-CO"/>
        </w:rPr>
        <w:t>La </w:t>
      </w:r>
      <w:r w:rsidRPr="00951067">
        <w:rPr>
          <w:rFonts w:ascii="Segoe UI" w:eastAsia="Times New Roman" w:hAnsi="Segoe UI" w:cs="Segoe UI"/>
          <w:sz w:val="18"/>
          <w:szCs w:val="18"/>
          <w:shd w:val="clear" w:color="auto" w:fill="FFFFFF"/>
          <w:lang w:eastAsia="es-CO"/>
        </w:rPr>
        <w:t>Clasificación Industrial Internacional Uniforme</w:t>
      </w:r>
      <w:r w:rsidRPr="00951067">
        <w:rPr>
          <w:rFonts w:ascii="Segoe UI" w:eastAsia="Times New Roman" w:hAnsi="Segoe UI" w:cs="Segoe UI"/>
          <w:sz w:val="18"/>
          <w:szCs w:val="18"/>
          <w:lang w:eastAsia="es-CO"/>
        </w:rPr>
        <w:t> codifica las actividades económicas productivas y ofrece un conjunto de categorías de actividades cuyo</w:t>
      </w:r>
      <w:r w:rsidRPr="00951067">
        <w:rPr>
          <w:rFonts w:ascii="Segoe UI" w:eastAsia="Times New Roman" w:hAnsi="Segoe UI" w:cs="Segoe UI"/>
          <w:b/>
          <w:bCs/>
          <w:sz w:val="18"/>
          <w:szCs w:val="18"/>
          <w:lang w:eastAsia="es-CO"/>
        </w:rPr>
        <w:t> </w:t>
      </w:r>
      <w:r w:rsidRPr="00951067">
        <w:rPr>
          <w:rFonts w:ascii="Segoe UI" w:eastAsia="Times New Roman" w:hAnsi="Segoe UI" w:cs="Segoe UI"/>
          <w:sz w:val="18"/>
          <w:szCs w:val="18"/>
          <w:lang w:eastAsia="es-CO"/>
        </w:rPr>
        <w:t>criterio principal es el origen industrial</w:t>
      </w:r>
      <w:bookmarkStart w:id="1" w:name="_ftnref2"/>
      <w:r w:rsidRPr="00951067">
        <w:rPr>
          <w:rFonts w:ascii="Segoe UI" w:eastAsia="Times New Roman" w:hAnsi="Segoe UI" w:cs="Segoe UI"/>
          <w:sz w:val="18"/>
          <w:szCs w:val="18"/>
          <w:lang w:eastAsia="es-CO"/>
        </w:rPr>
        <w:fldChar w:fldCharType="begin"/>
      </w:r>
      <w:r w:rsidRPr="00951067">
        <w:rPr>
          <w:rFonts w:ascii="Segoe UI" w:eastAsia="Times New Roman" w:hAnsi="Segoe UI" w:cs="Segoe UI"/>
          <w:sz w:val="18"/>
          <w:szCs w:val="18"/>
          <w:lang w:eastAsia="es-CO"/>
        </w:rPr>
        <w:instrText xml:space="preserve"> HYPERLINK "https://www.ceta.org.co/html/vista_de_un_documento.asp?DocumentoID=31827" \l "_ftn2" \o "" </w:instrText>
      </w:r>
      <w:r w:rsidRPr="00951067">
        <w:rPr>
          <w:rFonts w:ascii="Segoe UI" w:eastAsia="Times New Roman" w:hAnsi="Segoe UI" w:cs="Segoe UI"/>
          <w:sz w:val="18"/>
          <w:szCs w:val="18"/>
          <w:lang w:eastAsia="es-CO"/>
        </w:rPr>
        <w:fldChar w:fldCharType="separate"/>
      </w:r>
      <w:r w:rsidRPr="00951067">
        <w:rPr>
          <w:rFonts w:ascii="Segoe UI" w:eastAsia="Times New Roman" w:hAnsi="Segoe UI" w:cs="Segoe UI"/>
          <w:sz w:val="22"/>
          <w:lang w:eastAsia="es-CO"/>
        </w:rPr>
        <w:t>[2]</w:t>
      </w:r>
      <w:r w:rsidRPr="00951067">
        <w:rPr>
          <w:rFonts w:ascii="Segoe UI" w:eastAsia="Times New Roman" w:hAnsi="Segoe UI" w:cs="Segoe UI"/>
          <w:sz w:val="18"/>
          <w:szCs w:val="18"/>
          <w:lang w:eastAsia="es-CO"/>
        </w:rPr>
        <w:fldChar w:fldCharType="end"/>
      </w:r>
      <w:bookmarkEnd w:id="1"/>
      <w:r w:rsidRPr="00951067">
        <w:rPr>
          <w:rFonts w:ascii="Segoe UI" w:eastAsia="Times New Roman" w:hAnsi="Segoe UI" w:cs="Segoe UI"/>
          <w:sz w:val="18"/>
          <w:szCs w:val="18"/>
          <w:lang w:eastAsia="es-CO"/>
        </w:rPr>
        <w:t>.</w:t>
      </w:r>
    </w:p>
    <w:p w:rsidR="00951067" w:rsidRPr="00951067" w:rsidRDefault="00951067" w:rsidP="00951067">
      <w:pPr>
        <w:spacing w:line="240" w:lineRule="auto"/>
        <w:rPr>
          <w:rFonts w:ascii="Arial" w:eastAsia="Times New Roman" w:hAnsi="Arial" w:cs="Arial"/>
          <w:sz w:val="18"/>
          <w:szCs w:val="18"/>
          <w:lang w:eastAsia="es-CO"/>
        </w:rPr>
      </w:pPr>
      <w:r w:rsidRPr="00951067">
        <w:rPr>
          <w:rFonts w:ascii="Segoe UI" w:eastAsia="Times New Roman" w:hAnsi="Segoe UI" w:cs="Segoe UI"/>
          <w:sz w:val="18"/>
          <w:szCs w:val="18"/>
          <w:lang w:eastAsia="es-CO"/>
        </w:rPr>
        <w:t> </w:t>
      </w:r>
    </w:p>
    <w:p w:rsidR="00951067" w:rsidRPr="00951067" w:rsidRDefault="00951067" w:rsidP="00951067">
      <w:pPr>
        <w:spacing w:line="240" w:lineRule="auto"/>
        <w:rPr>
          <w:rFonts w:ascii="Arial" w:eastAsia="Times New Roman" w:hAnsi="Arial" w:cs="Arial"/>
          <w:sz w:val="18"/>
          <w:szCs w:val="18"/>
          <w:lang w:eastAsia="es-CO"/>
        </w:rPr>
      </w:pPr>
      <w:r w:rsidRPr="00951067">
        <w:rPr>
          <w:rFonts w:ascii="Segoe UI" w:eastAsia="Times New Roman" w:hAnsi="Segoe UI" w:cs="Segoe UI"/>
          <w:sz w:val="18"/>
          <w:szCs w:val="18"/>
          <w:lang w:eastAsia="es-CO"/>
        </w:rPr>
        <w:t>En cuanto a </w:t>
      </w:r>
      <w:r w:rsidRPr="00951067">
        <w:rPr>
          <w:rFonts w:ascii="Segoe UI" w:eastAsia="Times New Roman" w:hAnsi="Segoe UI" w:cs="Segoe UI"/>
          <w:i/>
          <w:iCs/>
          <w:sz w:val="18"/>
          <w:szCs w:val="18"/>
          <w:lang w:eastAsia="es-CO"/>
        </w:rPr>
        <w:t>“actividad económica”</w:t>
      </w:r>
      <w:r w:rsidRPr="00951067">
        <w:rPr>
          <w:rFonts w:ascii="Segoe UI" w:eastAsia="Times New Roman" w:hAnsi="Segoe UI" w:cs="Segoe UI"/>
          <w:sz w:val="18"/>
          <w:szCs w:val="18"/>
          <w:lang w:eastAsia="es-CO"/>
        </w:rPr>
        <w:t> se refiere, la CIIU la define como </w:t>
      </w:r>
      <w:r w:rsidRPr="00951067">
        <w:rPr>
          <w:rFonts w:ascii="Segoe UI" w:eastAsia="Times New Roman" w:hAnsi="Segoe UI" w:cs="Segoe UI"/>
          <w:i/>
          <w:iCs/>
          <w:sz w:val="18"/>
          <w:szCs w:val="18"/>
          <w:lang w:eastAsia="es-CO"/>
        </w:rPr>
        <w:t>“un proceso o grupo de operaciones que combinan recursos tales como equipo, mano de obra, técnicas de fabricación, insumos y se constituyen en una unidad cuyo resultado es un conjunto de bienes o servicios.” </w:t>
      </w:r>
      <w:r w:rsidRPr="00951067">
        <w:rPr>
          <w:rFonts w:ascii="Segoe UI" w:eastAsia="Times New Roman" w:hAnsi="Segoe UI" w:cs="Segoe UI"/>
          <w:sz w:val="18"/>
          <w:szCs w:val="18"/>
          <w:lang w:eastAsia="es-CO"/>
        </w:rPr>
        <w:t>Así mismo, distingue las actividades económicas principales de las actividades económicas secundarias.</w:t>
      </w:r>
    </w:p>
    <w:p w:rsidR="00951067" w:rsidRPr="00951067" w:rsidRDefault="00951067" w:rsidP="00951067">
      <w:pPr>
        <w:spacing w:line="240" w:lineRule="auto"/>
        <w:rPr>
          <w:rFonts w:ascii="Arial" w:eastAsia="Times New Roman" w:hAnsi="Arial" w:cs="Arial"/>
          <w:sz w:val="18"/>
          <w:szCs w:val="18"/>
          <w:lang w:eastAsia="es-CO"/>
        </w:rPr>
      </w:pPr>
      <w:r w:rsidRPr="00951067">
        <w:rPr>
          <w:rFonts w:ascii="Segoe UI" w:eastAsia="Times New Roman" w:hAnsi="Segoe UI" w:cs="Segoe UI"/>
          <w:sz w:val="18"/>
          <w:szCs w:val="18"/>
          <w:lang w:eastAsia="es-CO"/>
        </w:rPr>
        <w:t> </w:t>
      </w:r>
    </w:p>
    <w:p w:rsidR="00951067" w:rsidRPr="00951067" w:rsidRDefault="00951067" w:rsidP="00951067">
      <w:pPr>
        <w:spacing w:line="240" w:lineRule="auto"/>
        <w:rPr>
          <w:rFonts w:ascii="Arial" w:eastAsia="Times New Roman" w:hAnsi="Arial" w:cs="Arial"/>
          <w:sz w:val="18"/>
          <w:szCs w:val="18"/>
          <w:lang w:eastAsia="es-CO"/>
        </w:rPr>
      </w:pPr>
      <w:r w:rsidRPr="00951067">
        <w:rPr>
          <w:rFonts w:ascii="Segoe UI" w:eastAsia="Times New Roman" w:hAnsi="Segoe UI" w:cs="Segoe UI"/>
          <w:sz w:val="18"/>
          <w:szCs w:val="18"/>
          <w:lang w:eastAsia="es-CO"/>
        </w:rPr>
        <w:t>Las actividades económicas principales, según la CIIU, son aquellas que generan la mayor parte del valor agregado de la entidad o la actividad cuyo valor agregado supera el de todas las demás actividades que realiza la entidad. En tanto que las actividades secundarias son cada una de las actividades independientes que generan productos destinados, en última instancia, a terceros y que no son actividades principales de la entidad.</w:t>
      </w:r>
    </w:p>
    <w:p w:rsidR="00951067" w:rsidRPr="00951067" w:rsidRDefault="00951067" w:rsidP="00951067">
      <w:pPr>
        <w:spacing w:line="240" w:lineRule="auto"/>
        <w:rPr>
          <w:rFonts w:ascii="Arial" w:eastAsia="Times New Roman" w:hAnsi="Arial" w:cs="Arial"/>
          <w:sz w:val="18"/>
          <w:szCs w:val="18"/>
          <w:lang w:eastAsia="es-CO"/>
        </w:rPr>
      </w:pPr>
      <w:r w:rsidRPr="00951067">
        <w:rPr>
          <w:rFonts w:ascii="Segoe UI" w:eastAsia="Times New Roman" w:hAnsi="Segoe UI" w:cs="Segoe UI"/>
          <w:sz w:val="18"/>
          <w:szCs w:val="18"/>
          <w:lang w:eastAsia="es-CO"/>
        </w:rPr>
        <w:t> </w:t>
      </w:r>
    </w:p>
    <w:p w:rsidR="00951067" w:rsidRPr="00951067" w:rsidRDefault="00951067" w:rsidP="00951067">
      <w:pPr>
        <w:spacing w:line="240" w:lineRule="auto"/>
        <w:rPr>
          <w:rFonts w:ascii="Arial" w:eastAsia="Times New Roman" w:hAnsi="Arial" w:cs="Arial"/>
          <w:sz w:val="18"/>
          <w:szCs w:val="18"/>
          <w:lang w:eastAsia="es-CO"/>
        </w:rPr>
      </w:pPr>
      <w:r w:rsidRPr="00951067">
        <w:rPr>
          <w:rFonts w:ascii="Segoe UI" w:eastAsia="Times New Roman" w:hAnsi="Segoe UI" w:cs="Segoe UI"/>
          <w:sz w:val="18"/>
          <w:szCs w:val="18"/>
          <w:lang w:eastAsia="es-CO"/>
        </w:rPr>
        <w:t xml:space="preserve">El demandante alega que tienen derecho a la exención de la contribución los usuarios del servicio que ejecuten actividades industriales </w:t>
      </w:r>
      <w:proofErr w:type="gramStart"/>
      <w:r w:rsidRPr="00951067">
        <w:rPr>
          <w:rFonts w:ascii="Segoe UI" w:eastAsia="Times New Roman" w:hAnsi="Segoe UI" w:cs="Segoe UI"/>
          <w:sz w:val="18"/>
          <w:szCs w:val="18"/>
          <w:lang w:eastAsia="es-CO"/>
        </w:rPr>
        <w:t>ora</w:t>
      </w:r>
      <w:proofErr w:type="gramEnd"/>
      <w:r w:rsidRPr="00951067">
        <w:rPr>
          <w:rFonts w:ascii="Segoe UI" w:eastAsia="Times New Roman" w:hAnsi="Segoe UI" w:cs="Segoe UI"/>
          <w:sz w:val="18"/>
          <w:szCs w:val="18"/>
          <w:lang w:eastAsia="es-CO"/>
        </w:rPr>
        <w:t xml:space="preserve"> de manera principal ora de manera secundaria. Que el decreto excede la facultad reglamentaria al restringirlo a los usuarios del servicio que ejecutan la actividad industrial como principal.</w:t>
      </w:r>
    </w:p>
    <w:p w:rsidR="00951067" w:rsidRPr="00951067" w:rsidRDefault="00951067" w:rsidP="00951067">
      <w:pPr>
        <w:spacing w:line="240" w:lineRule="auto"/>
        <w:rPr>
          <w:rFonts w:ascii="Arial" w:eastAsia="Times New Roman" w:hAnsi="Arial" w:cs="Arial"/>
          <w:sz w:val="18"/>
          <w:szCs w:val="18"/>
          <w:lang w:eastAsia="es-CO"/>
        </w:rPr>
      </w:pPr>
      <w:r w:rsidRPr="00951067">
        <w:rPr>
          <w:rFonts w:ascii="Segoe UI" w:eastAsia="Times New Roman" w:hAnsi="Segoe UI" w:cs="Segoe UI"/>
          <w:sz w:val="18"/>
          <w:szCs w:val="18"/>
          <w:lang w:eastAsia="es-CO"/>
        </w:rPr>
        <w:t> </w:t>
      </w:r>
    </w:p>
    <w:p w:rsidR="00951067" w:rsidRPr="00951067" w:rsidRDefault="00951067" w:rsidP="00951067">
      <w:pPr>
        <w:spacing w:line="240" w:lineRule="auto"/>
        <w:rPr>
          <w:rFonts w:ascii="Arial" w:eastAsia="Times New Roman" w:hAnsi="Arial" w:cs="Arial"/>
          <w:sz w:val="18"/>
          <w:szCs w:val="18"/>
          <w:lang w:eastAsia="es-CO"/>
        </w:rPr>
      </w:pPr>
      <w:r w:rsidRPr="00951067">
        <w:rPr>
          <w:rFonts w:ascii="Segoe UI" w:eastAsia="Times New Roman" w:hAnsi="Segoe UI" w:cs="Segoe UI"/>
          <w:sz w:val="18"/>
          <w:szCs w:val="18"/>
          <w:lang w:eastAsia="es-CO"/>
        </w:rPr>
        <w:t>La Sala considera que no se configura ningún exceso en la facultad reglamentaria. Por el contrario, la cualificación del sujeto beneficiario de la exención, que hace el Decreto 4956, concreta el ámbito de aplicación de la exención creada por el artículo 102 de la Ley 1450 de 2011, a partir de la definición de reglas claras que permiten identificar a los usuarios industriales del servicio de gas natural domiciliario, y diferenciarlos de los demás usuarios, con el fin último de evitar abusos por parte de los contribuyentes que no tendrían derecho a tales beneficios.</w:t>
      </w:r>
    </w:p>
    <w:p w:rsidR="00951067" w:rsidRPr="00951067" w:rsidRDefault="00951067" w:rsidP="00951067">
      <w:pPr>
        <w:spacing w:line="240" w:lineRule="auto"/>
        <w:rPr>
          <w:rFonts w:ascii="Arial" w:eastAsia="Times New Roman" w:hAnsi="Arial" w:cs="Arial"/>
          <w:sz w:val="18"/>
          <w:szCs w:val="18"/>
          <w:lang w:eastAsia="es-CO"/>
        </w:rPr>
      </w:pPr>
      <w:r w:rsidRPr="00951067">
        <w:rPr>
          <w:rFonts w:ascii="Segoe UI" w:eastAsia="Times New Roman" w:hAnsi="Segoe UI" w:cs="Segoe UI"/>
          <w:sz w:val="18"/>
          <w:szCs w:val="18"/>
          <w:lang w:eastAsia="es-CO"/>
        </w:rPr>
        <w:t> </w:t>
      </w:r>
    </w:p>
    <w:p w:rsidR="00951067" w:rsidRPr="00951067" w:rsidRDefault="00951067" w:rsidP="00951067">
      <w:pPr>
        <w:spacing w:line="240" w:lineRule="auto"/>
        <w:rPr>
          <w:rFonts w:ascii="Arial" w:eastAsia="Times New Roman" w:hAnsi="Arial" w:cs="Arial"/>
          <w:sz w:val="18"/>
          <w:szCs w:val="18"/>
          <w:lang w:eastAsia="es-CO"/>
        </w:rPr>
      </w:pPr>
      <w:r w:rsidRPr="00951067">
        <w:rPr>
          <w:rFonts w:ascii="Segoe UI" w:eastAsia="Times New Roman" w:hAnsi="Segoe UI" w:cs="Segoe UI"/>
          <w:sz w:val="18"/>
          <w:szCs w:val="18"/>
          <w:lang w:eastAsia="es-CO"/>
        </w:rPr>
        <w:t>Las actividades económicas clasificadas en los códigos </w:t>
      </w:r>
      <w:r w:rsidRPr="00951067">
        <w:rPr>
          <w:rFonts w:ascii="Segoe UI" w:eastAsia="Times New Roman" w:hAnsi="Segoe UI" w:cs="Segoe UI"/>
          <w:sz w:val="18"/>
          <w:szCs w:val="18"/>
          <w:shd w:val="clear" w:color="auto" w:fill="FFFFFF"/>
          <w:lang w:eastAsia="es-CO"/>
        </w:rPr>
        <w:t>011 a 456 </w:t>
      </w:r>
      <w:r w:rsidRPr="00951067">
        <w:rPr>
          <w:rFonts w:ascii="Segoe UI" w:eastAsia="Times New Roman" w:hAnsi="Segoe UI" w:cs="Segoe UI"/>
          <w:sz w:val="18"/>
          <w:szCs w:val="18"/>
          <w:lang w:eastAsia="es-CO"/>
        </w:rPr>
        <w:t>de la Resolución 432 de 2008 son industriales y, como tal, constituyen un referente idóneo para identificar y tener control sobre los sujetos beneficiarios de la exención. La ley y el decreto privilegian de manera razonable a aquellos usuarios del servicio de gas que ejecutan actividades industriales de manera principal porque son las que les generan la mayor parte del valor agregado.</w:t>
      </w:r>
    </w:p>
    <w:p w:rsidR="00951067" w:rsidRPr="00951067" w:rsidRDefault="00951067" w:rsidP="00951067">
      <w:pPr>
        <w:spacing w:line="240" w:lineRule="auto"/>
        <w:rPr>
          <w:rFonts w:ascii="Arial" w:eastAsia="Times New Roman" w:hAnsi="Arial" w:cs="Arial"/>
          <w:sz w:val="18"/>
          <w:szCs w:val="18"/>
          <w:lang w:eastAsia="es-CO"/>
        </w:rPr>
      </w:pPr>
      <w:r w:rsidRPr="00951067">
        <w:rPr>
          <w:rFonts w:ascii="Segoe UI" w:eastAsia="Times New Roman" w:hAnsi="Segoe UI" w:cs="Segoe UI"/>
          <w:sz w:val="18"/>
          <w:szCs w:val="18"/>
          <w:lang w:eastAsia="es-CO"/>
        </w:rPr>
        <w:t> </w:t>
      </w:r>
    </w:p>
    <w:p w:rsidR="00951067" w:rsidRPr="00951067" w:rsidRDefault="00951067" w:rsidP="00951067">
      <w:pPr>
        <w:spacing w:line="240" w:lineRule="auto"/>
        <w:rPr>
          <w:rFonts w:ascii="Arial" w:eastAsia="Times New Roman" w:hAnsi="Arial" w:cs="Arial"/>
          <w:sz w:val="18"/>
          <w:szCs w:val="18"/>
          <w:lang w:eastAsia="es-CO"/>
        </w:rPr>
      </w:pPr>
      <w:r w:rsidRPr="00951067">
        <w:rPr>
          <w:rFonts w:ascii="Segoe UI" w:eastAsia="Times New Roman" w:hAnsi="Segoe UI" w:cs="Segoe UI"/>
          <w:sz w:val="18"/>
          <w:szCs w:val="18"/>
          <w:shd w:val="clear" w:color="auto" w:fill="FFFFFF"/>
          <w:lang w:eastAsia="es-CO"/>
        </w:rPr>
        <w:t>Es cierto que las empresas pueden ejecutar varias actividades, unas principales y otras secundarias, y que para la ejecución de esas actividades pueden requerir gas y, por esa sola circunstancia, tales empresas pueden ser consideradas usuarios o consumidores del servicio.</w:t>
      </w:r>
    </w:p>
    <w:p w:rsidR="00951067" w:rsidRPr="00951067" w:rsidRDefault="00951067" w:rsidP="00951067">
      <w:pPr>
        <w:spacing w:line="240" w:lineRule="auto"/>
        <w:rPr>
          <w:rFonts w:ascii="Arial" w:eastAsia="Times New Roman" w:hAnsi="Arial" w:cs="Arial"/>
          <w:sz w:val="18"/>
          <w:szCs w:val="18"/>
          <w:lang w:eastAsia="es-CO"/>
        </w:rPr>
      </w:pPr>
      <w:r w:rsidRPr="00951067">
        <w:rPr>
          <w:rFonts w:ascii="Segoe UI" w:eastAsia="Times New Roman" w:hAnsi="Segoe UI" w:cs="Segoe UI"/>
          <w:sz w:val="18"/>
          <w:szCs w:val="18"/>
          <w:shd w:val="clear" w:color="auto" w:fill="FFFFFF"/>
          <w:lang w:eastAsia="es-CO"/>
        </w:rPr>
        <w:t> </w:t>
      </w:r>
    </w:p>
    <w:p w:rsidR="00951067" w:rsidRPr="00951067" w:rsidRDefault="00951067" w:rsidP="00951067">
      <w:pPr>
        <w:spacing w:line="240" w:lineRule="auto"/>
        <w:rPr>
          <w:rFonts w:ascii="Arial" w:eastAsia="Times New Roman" w:hAnsi="Arial" w:cs="Arial"/>
          <w:sz w:val="18"/>
          <w:szCs w:val="18"/>
          <w:lang w:eastAsia="es-CO"/>
        </w:rPr>
      </w:pPr>
      <w:r w:rsidRPr="00951067">
        <w:rPr>
          <w:rFonts w:ascii="Segoe UI" w:eastAsia="Times New Roman" w:hAnsi="Segoe UI" w:cs="Segoe UI"/>
          <w:sz w:val="18"/>
          <w:szCs w:val="18"/>
          <w:shd w:val="clear" w:color="auto" w:fill="FFFFFF"/>
          <w:lang w:eastAsia="es-CO"/>
        </w:rPr>
        <w:t xml:space="preserve">De hecho, el numeral 14.33. </w:t>
      </w:r>
      <w:proofErr w:type="gramStart"/>
      <w:r w:rsidRPr="00951067">
        <w:rPr>
          <w:rFonts w:ascii="Segoe UI" w:eastAsia="Times New Roman" w:hAnsi="Segoe UI" w:cs="Segoe UI"/>
          <w:sz w:val="18"/>
          <w:szCs w:val="18"/>
          <w:shd w:val="clear" w:color="auto" w:fill="FFFFFF"/>
          <w:lang w:eastAsia="es-CO"/>
        </w:rPr>
        <w:t>del</w:t>
      </w:r>
      <w:proofErr w:type="gramEnd"/>
      <w:r w:rsidRPr="00951067">
        <w:rPr>
          <w:rFonts w:ascii="Segoe UI" w:eastAsia="Times New Roman" w:hAnsi="Segoe UI" w:cs="Segoe UI"/>
          <w:sz w:val="18"/>
          <w:szCs w:val="18"/>
          <w:shd w:val="clear" w:color="auto" w:fill="FFFFFF"/>
          <w:lang w:eastAsia="es-CO"/>
        </w:rPr>
        <w:t xml:space="preserve"> artículo 14 de la Ley 142 de 1994 denomina usuario o consumidor de cualquier servicio público domiciliarios a toda </w:t>
      </w:r>
      <w:r w:rsidRPr="00951067">
        <w:rPr>
          <w:rFonts w:ascii="Segoe UI" w:eastAsia="Times New Roman" w:hAnsi="Segoe UI" w:cs="Segoe UI"/>
          <w:i/>
          <w:iCs/>
          <w:sz w:val="18"/>
          <w:szCs w:val="18"/>
          <w:shd w:val="clear" w:color="auto" w:fill="FFFFFF"/>
          <w:lang w:eastAsia="es-CO"/>
        </w:rPr>
        <w:t>persona natural o jurídica que se beneficia con la prestación de un servicio público, bien como propietario del inmueble en donde este se presta, o como receptor directo del servicio.</w:t>
      </w:r>
    </w:p>
    <w:p w:rsidR="00951067" w:rsidRPr="00951067" w:rsidRDefault="00951067" w:rsidP="00951067">
      <w:pPr>
        <w:spacing w:line="240" w:lineRule="auto"/>
        <w:rPr>
          <w:rFonts w:ascii="Arial" w:eastAsia="Times New Roman" w:hAnsi="Arial" w:cs="Arial"/>
          <w:sz w:val="18"/>
          <w:szCs w:val="18"/>
          <w:lang w:eastAsia="es-CO"/>
        </w:rPr>
      </w:pPr>
      <w:r w:rsidRPr="00951067">
        <w:rPr>
          <w:rFonts w:ascii="Segoe UI" w:eastAsia="Times New Roman" w:hAnsi="Segoe UI" w:cs="Segoe UI"/>
          <w:sz w:val="18"/>
          <w:szCs w:val="18"/>
          <w:shd w:val="clear" w:color="auto" w:fill="FFFFFF"/>
          <w:lang w:eastAsia="es-CO"/>
        </w:rPr>
        <w:t> </w:t>
      </w:r>
    </w:p>
    <w:p w:rsidR="00951067" w:rsidRPr="00951067" w:rsidRDefault="00951067" w:rsidP="00951067">
      <w:pPr>
        <w:spacing w:line="240" w:lineRule="auto"/>
        <w:rPr>
          <w:rFonts w:ascii="Arial" w:eastAsia="Times New Roman" w:hAnsi="Arial" w:cs="Arial"/>
          <w:sz w:val="18"/>
          <w:szCs w:val="18"/>
          <w:lang w:eastAsia="es-CO"/>
        </w:rPr>
      </w:pPr>
      <w:r w:rsidRPr="00951067">
        <w:rPr>
          <w:rFonts w:ascii="Segoe UI" w:eastAsia="Times New Roman" w:hAnsi="Segoe UI" w:cs="Segoe UI"/>
          <w:sz w:val="18"/>
          <w:szCs w:val="18"/>
          <w:shd w:val="clear" w:color="auto" w:fill="FFFFFF"/>
          <w:lang w:eastAsia="es-CO"/>
        </w:rPr>
        <w:t>Pero es precisamente por esa generalidad de la norma, y por el hecho que la Ley 142 de 1994 no define qué se entiende por usuario industrial, que surge la necesidad de que se aclare, por reglamento, ese concepto. Y qué mejor que acudir a los códigos de Clasificación Industrial Internacional Uniforme, que, como se precisó anteriormente, codifican las actividades económicas industriales.</w:t>
      </w:r>
    </w:p>
    <w:p w:rsidR="00951067" w:rsidRPr="00951067" w:rsidRDefault="00951067" w:rsidP="00951067">
      <w:pPr>
        <w:spacing w:line="240" w:lineRule="auto"/>
        <w:rPr>
          <w:rFonts w:ascii="Arial" w:eastAsia="Times New Roman" w:hAnsi="Arial" w:cs="Arial"/>
          <w:sz w:val="18"/>
          <w:szCs w:val="18"/>
          <w:lang w:eastAsia="es-CO"/>
        </w:rPr>
      </w:pPr>
      <w:r w:rsidRPr="00951067">
        <w:rPr>
          <w:rFonts w:ascii="Segoe UI" w:eastAsia="Times New Roman" w:hAnsi="Segoe UI" w:cs="Segoe UI"/>
          <w:sz w:val="18"/>
          <w:szCs w:val="18"/>
          <w:shd w:val="clear" w:color="auto" w:fill="FFFFFF"/>
          <w:lang w:eastAsia="es-CO"/>
        </w:rPr>
        <w:t> </w:t>
      </w:r>
    </w:p>
    <w:p w:rsidR="00951067" w:rsidRPr="00951067" w:rsidRDefault="00951067" w:rsidP="00951067">
      <w:pPr>
        <w:spacing w:line="240" w:lineRule="auto"/>
        <w:rPr>
          <w:rFonts w:ascii="Arial" w:eastAsia="Times New Roman" w:hAnsi="Arial" w:cs="Arial"/>
          <w:sz w:val="18"/>
          <w:szCs w:val="18"/>
          <w:lang w:eastAsia="es-CO"/>
        </w:rPr>
      </w:pPr>
      <w:r w:rsidRPr="00951067">
        <w:rPr>
          <w:rFonts w:ascii="Segoe UI" w:eastAsia="Times New Roman" w:hAnsi="Segoe UI" w:cs="Segoe UI"/>
          <w:sz w:val="18"/>
          <w:szCs w:val="18"/>
          <w:shd w:val="clear" w:color="auto" w:fill="FFFFFF"/>
          <w:lang w:eastAsia="es-CO"/>
        </w:rPr>
        <w:t>Y si bien esa codificación debe utilizarse cuando se ejecuta la actividad de manera principal o de manera secundaria, la exigencia de que el beneficiario de la exención realice la actividad de manera principal consulta la Ley 1450 de 2011 porque es esta misma ley la que otorga la exención a los “usuarios industriales”. La ley no otorga la exención a los usuarios comerciales o a los usuarios que prestan servicios, así dentro de su objeto social ejecuten actividades industriales de manera secundaria. De permitir esa situación, el ámbito de la ley se ampliaría a todo tipo de usuarios, finalidad que no persigue la Ley 1450 de 2011. Ahí sí se habría excedido la facultad reglamentaria.</w:t>
      </w:r>
    </w:p>
    <w:p w:rsidR="00951067" w:rsidRPr="00951067" w:rsidRDefault="00951067" w:rsidP="00951067">
      <w:pPr>
        <w:spacing w:line="240" w:lineRule="auto"/>
        <w:rPr>
          <w:rFonts w:ascii="Arial" w:eastAsia="Times New Roman" w:hAnsi="Arial" w:cs="Arial"/>
          <w:sz w:val="18"/>
          <w:szCs w:val="18"/>
          <w:lang w:eastAsia="es-CO"/>
        </w:rPr>
      </w:pPr>
      <w:r w:rsidRPr="00951067">
        <w:rPr>
          <w:rFonts w:ascii="Segoe UI" w:eastAsia="Times New Roman" w:hAnsi="Segoe UI" w:cs="Segoe UI"/>
          <w:sz w:val="18"/>
          <w:szCs w:val="18"/>
          <w:shd w:val="clear" w:color="auto" w:fill="FFFFFF"/>
          <w:lang w:eastAsia="es-CO"/>
        </w:rPr>
        <w:t> </w:t>
      </w:r>
    </w:p>
    <w:p w:rsidR="00951067" w:rsidRPr="00951067" w:rsidRDefault="00951067" w:rsidP="00951067">
      <w:pPr>
        <w:spacing w:line="240" w:lineRule="auto"/>
        <w:rPr>
          <w:rFonts w:ascii="Arial" w:eastAsia="Times New Roman" w:hAnsi="Arial" w:cs="Arial"/>
          <w:sz w:val="18"/>
          <w:szCs w:val="18"/>
          <w:lang w:eastAsia="es-CO"/>
        </w:rPr>
      </w:pPr>
      <w:r w:rsidRPr="00951067">
        <w:rPr>
          <w:rFonts w:ascii="Segoe UI" w:eastAsia="Times New Roman" w:hAnsi="Segoe UI" w:cs="Segoe UI"/>
          <w:sz w:val="18"/>
          <w:szCs w:val="18"/>
          <w:shd w:val="clear" w:color="auto" w:fill="FFFFFF"/>
          <w:lang w:eastAsia="es-CO"/>
        </w:rPr>
        <w:t>No prospera el cargo.</w:t>
      </w:r>
    </w:p>
    <w:p w:rsidR="00951067" w:rsidRPr="00951067" w:rsidRDefault="00951067" w:rsidP="00951067">
      <w:pPr>
        <w:spacing w:line="240" w:lineRule="auto"/>
        <w:rPr>
          <w:rFonts w:ascii="Arial" w:eastAsia="Times New Roman" w:hAnsi="Arial" w:cs="Arial"/>
          <w:sz w:val="18"/>
          <w:szCs w:val="18"/>
          <w:lang w:eastAsia="es-CO"/>
        </w:rPr>
      </w:pPr>
      <w:r w:rsidRPr="00951067">
        <w:rPr>
          <w:rFonts w:ascii="Segoe UI" w:eastAsia="Times New Roman" w:hAnsi="Segoe UI" w:cs="Segoe UI"/>
          <w:sz w:val="18"/>
          <w:szCs w:val="18"/>
          <w:shd w:val="clear" w:color="auto" w:fill="FFFFFF"/>
          <w:lang w:eastAsia="es-CO"/>
        </w:rPr>
        <w:t> </w:t>
      </w:r>
    </w:p>
    <w:p w:rsidR="00951067" w:rsidRPr="00951067" w:rsidRDefault="00951067" w:rsidP="00951067">
      <w:pPr>
        <w:spacing w:line="240" w:lineRule="auto"/>
        <w:rPr>
          <w:rFonts w:ascii="Arial" w:eastAsia="Times New Roman" w:hAnsi="Arial" w:cs="Arial"/>
          <w:sz w:val="18"/>
          <w:szCs w:val="18"/>
          <w:lang w:eastAsia="es-CO"/>
        </w:rPr>
      </w:pPr>
      <w:r w:rsidRPr="00951067">
        <w:rPr>
          <w:rFonts w:ascii="Segoe UI" w:eastAsia="Times New Roman" w:hAnsi="Segoe UI" w:cs="Segoe UI"/>
          <w:b/>
          <w:bCs/>
          <w:sz w:val="18"/>
          <w:szCs w:val="18"/>
          <w:lang w:eastAsia="es-CO"/>
        </w:rPr>
        <w:t>1.2.2. Segundo problema jurídico</w:t>
      </w:r>
    </w:p>
    <w:p w:rsidR="00951067" w:rsidRPr="00951067" w:rsidRDefault="00951067" w:rsidP="00951067">
      <w:pPr>
        <w:spacing w:line="240" w:lineRule="auto"/>
        <w:rPr>
          <w:rFonts w:ascii="Arial" w:eastAsia="Times New Roman" w:hAnsi="Arial" w:cs="Arial"/>
          <w:sz w:val="18"/>
          <w:szCs w:val="18"/>
          <w:lang w:eastAsia="es-CO"/>
        </w:rPr>
      </w:pPr>
      <w:r w:rsidRPr="00951067">
        <w:rPr>
          <w:rFonts w:ascii="Segoe UI" w:eastAsia="Times New Roman" w:hAnsi="Segoe UI" w:cs="Segoe UI"/>
          <w:sz w:val="18"/>
          <w:szCs w:val="18"/>
          <w:shd w:val="clear" w:color="auto" w:fill="FFFFFF"/>
          <w:lang w:eastAsia="es-CO"/>
        </w:rPr>
        <w:t> </w:t>
      </w:r>
    </w:p>
    <w:p w:rsidR="00951067" w:rsidRPr="00951067" w:rsidRDefault="00951067" w:rsidP="00951067">
      <w:pPr>
        <w:spacing w:line="240" w:lineRule="auto"/>
        <w:rPr>
          <w:rFonts w:ascii="Arial" w:eastAsia="Times New Roman" w:hAnsi="Arial" w:cs="Arial"/>
          <w:sz w:val="18"/>
          <w:szCs w:val="18"/>
          <w:lang w:eastAsia="es-CO"/>
        </w:rPr>
      </w:pPr>
      <w:r w:rsidRPr="00951067">
        <w:rPr>
          <w:rFonts w:ascii="Segoe UI" w:eastAsia="Times New Roman" w:hAnsi="Segoe UI" w:cs="Segoe UI"/>
          <w:sz w:val="18"/>
          <w:szCs w:val="18"/>
          <w:lang w:eastAsia="es-CO"/>
        </w:rPr>
        <w:t>¿El Decreto 4956 de 2011 viola los principios de determinación tributaria y de razonabilidad de los actos y de las normas, por imponer, para tener derecho a la exención de la contribución, la presentación de una solicitud con una copia del RUT expedida con una anterioridad no mayor a 30 días calendario a la fecha de la solicitud [Parágrafo del artículo 2 y artículo 4], y, para conservar la exención, la obligación de presentar el RUT cada seis meses [parágrafo 2 del artículo 5]? De ser procedente esa solicitud, ¿a partir de qué fecha se entiende que los usuarios industriales del servicio de gas natural domiciliario tienen derecho a la exención?</w:t>
      </w:r>
    </w:p>
    <w:p w:rsidR="00951067" w:rsidRPr="00951067" w:rsidRDefault="00951067" w:rsidP="00951067">
      <w:pPr>
        <w:spacing w:line="240" w:lineRule="auto"/>
        <w:rPr>
          <w:rFonts w:ascii="Arial" w:eastAsia="Times New Roman" w:hAnsi="Arial" w:cs="Arial"/>
          <w:sz w:val="18"/>
          <w:szCs w:val="18"/>
          <w:lang w:eastAsia="es-CO"/>
        </w:rPr>
      </w:pPr>
      <w:r w:rsidRPr="00951067">
        <w:rPr>
          <w:rFonts w:ascii="Segoe UI" w:eastAsia="Times New Roman" w:hAnsi="Segoe UI" w:cs="Segoe UI"/>
          <w:sz w:val="18"/>
          <w:szCs w:val="18"/>
          <w:lang w:eastAsia="es-CO"/>
        </w:rPr>
        <w:t> </w:t>
      </w:r>
    </w:p>
    <w:p w:rsidR="00951067" w:rsidRPr="00951067" w:rsidRDefault="00951067" w:rsidP="00951067">
      <w:pPr>
        <w:spacing w:line="240" w:lineRule="auto"/>
        <w:rPr>
          <w:rFonts w:ascii="Arial" w:eastAsia="Times New Roman" w:hAnsi="Arial" w:cs="Arial"/>
          <w:sz w:val="18"/>
          <w:szCs w:val="18"/>
          <w:lang w:eastAsia="es-CO"/>
        </w:rPr>
      </w:pPr>
      <w:r w:rsidRPr="00951067">
        <w:rPr>
          <w:rFonts w:ascii="Segoe UI" w:eastAsia="Times New Roman" w:hAnsi="Segoe UI" w:cs="Segoe UI"/>
          <w:sz w:val="18"/>
          <w:szCs w:val="18"/>
          <w:lang w:eastAsia="es-CO"/>
        </w:rPr>
        <w:t xml:space="preserve">La Sala parte de precisar que el alegato del demandante se enfoca a decir que el parágrafo del artículo 2 y el artículo 4 del Decreto 4956 de 2011 son confusos porque exigen a los interesados en la exención de la </w:t>
      </w:r>
      <w:r w:rsidRPr="00951067">
        <w:rPr>
          <w:rFonts w:ascii="Segoe UI" w:eastAsia="Times New Roman" w:hAnsi="Segoe UI" w:cs="Segoe UI"/>
          <w:sz w:val="18"/>
          <w:szCs w:val="18"/>
          <w:lang w:eastAsia="es-CO"/>
        </w:rPr>
        <w:lastRenderedPageBreak/>
        <w:t>contribución a presentar la copia de un RUT que tenga cierto tiempo de expedido, sin tener en cuenta que ese documento no cuenta con una fecha cierta de expedición.</w:t>
      </w:r>
    </w:p>
    <w:p w:rsidR="00951067" w:rsidRPr="00951067" w:rsidRDefault="00951067" w:rsidP="00951067">
      <w:pPr>
        <w:spacing w:line="240" w:lineRule="auto"/>
        <w:rPr>
          <w:rFonts w:ascii="Arial" w:eastAsia="Times New Roman" w:hAnsi="Arial" w:cs="Arial"/>
          <w:sz w:val="18"/>
          <w:szCs w:val="18"/>
          <w:lang w:eastAsia="es-CO"/>
        </w:rPr>
      </w:pPr>
      <w:r w:rsidRPr="00951067">
        <w:rPr>
          <w:rFonts w:ascii="Segoe UI" w:eastAsia="Times New Roman" w:hAnsi="Segoe UI" w:cs="Segoe UI"/>
          <w:sz w:val="18"/>
          <w:szCs w:val="18"/>
          <w:lang w:eastAsia="es-CO"/>
        </w:rPr>
        <w:t> </w:t>
      </w:r>
    </w:p>
    <w:p w:rsidR="00951067" w:rsidRPr="00951067" w:rsidRDefault="00951067" w:rsidP="00951067">
      <w:pPr>
        <w:spacing w:line="240" w:lineRule="auto"/>
        <w:rPr>
          <w:rFonts w:ascii="Arial" w:eastAsia="Times New Roman" w:hAnsi="Arial" w:cs="Arial"/>
          <w:sz w:val="18"/>
          <w:szCs w:val="18"/>
          <w:lang w:eastAsia="es-CO"/>
        </w:rPr>
      </w:pPr>
      <w:r w:rsidRPr="00951067">
        <w:rPr>
          <w:rFonts w:ascii="Segoe UI" w:eastAsia="Times New Roman" w:hAnsi="Segoe UI" w:cs="Segoe UI"/>
          <w:sz w:val="18"/>
          <w:szCs w:val="18"/>
          <w:lang w:eastAsia="es-CO"/>
        </w:rPr>
        <w:t>Sobre el particular, valga precisar que el apoderado del Ministerio de Hacienda aclaró que la DIAN incluyó en el formato del RUT la fecha de expedición para facilitar el cumplimiento de la norma cuya nulidad ahora se demanda.</w:t>
      </w:r>
    </w:p>
    <w:p w:rsidR="00951067" w:rsidRPr="00951067" w:rsidRDefault="00951067" w:rsidP="00951067">
      <w:pPr>
        <w:spacing w:line="240" w:lineRule="auto"/>
        <w:rPr>
          <w:rFonts w:ascii="Arial" w:eastAsia="Times New Roman" w:hAnsi="Arial" w:cs="Arial"/>
          <w:sz w:val="18"/>
          <w:szCs w:val="18"/>
          <w:lang w:eastAsia="es-CO"/>
        </w:rPr>
      </w:pPr>
      <w:r w:rsidRPr="00951067">
        <w:rPr>
          <w:rFonts w:ascii="Segoe UI" w:eastAsia="Times New Roman" w:hAnsi="Segoe UI" w:cs="Segoe UI"/>
          <w:sz w:val="18"/>
          <w:szCs w:val="18"/>
          <w:lang w:eastAsia="es-CO"/>
        </w:rPr>
        <w:t> </w:t>
      </w:r>
    </w:p>
    <w:p w:rsidR="00951067" w:rsidRPr="00951067" w:rsidRDefault="00951067" w:rsidP="00951067">
      <w:pPr>
        <w:spacing w:line="240" w:lineRule="auto"/>
        <w:rPr>
          <w:rFonts w:ascii="Arial" w:eastAsia="Times New Roman" w:hAnsi="Arial" w:cs="Arial"/>
          <w:sz w:val="18"/>
          <w:szCs w:val="18"/>
          <w:lang w:eastAsia="es-CO"/>
        </w:rPr>
      </w:pPr>
      <w:r w:rsidRPr="00951067">
        <w:rPr>
          <w:rFonts w:ascii="Segoe UI" w:eastAsia="Times New Roman" w:hAnsi="Segoe UI" w:cs="Segoe UI"/>
          <w:sz w:val="18"/>
          <w:szCs w:val="18"/>
          <w:lang w:eastAsia="es-CO"/>
        </w:rPr>
        <w:t>Para la Sala, entonces, la falta de claridad no provenía de la norma como tal, sino de un elemento del que se valía la misma para hacer aplicable el beneficio tributario. En ese entendido, las deficiencias que para el demandante tenía el RUT no generan la nulidad del decreto demandado por supuesta ambigüedad, pues el principio de certeza del tributo se vulnera por la omisión en la determinación de los elementos del tributo o cuando en su definición se acude a expresiones ambiguas o confusas. En tales eventos, ha dicho la Corte Constitucional, el principio resulta quebrantado cuando la falta de claridad sea insuperable, es decir, cuando no sea posible establecer el sentido y alcance de las disposiciones, de conformidad con las reglas generales de la hermenéutica jurídica</w:t>
      </w:r>
      <w:bookmarkStart w:id="2" w:name="_ftnref3"/>
      <w:r w:rsidRPr="00951067">
        <w:rPr>
          <w:rFonts w:ascii="Segoe UI" w:eastAsia="Times New Roman" w:hAnsi="Segoe UI" w:cs="Segoe UI"/>
          <w:sz w:val="18"/>
          <w:szCs w:val="18"/>
          <w:lang w:eastAsia="es-CO"/>
        </w:rPr>
        <w:fldChar w:fldCharType="begin"/>
      </w:r>
      <w:r w:rsidRPr="00951067">
        <w:rPr>
          <w:rFonts w:ascii="Segoe UI" w:eastAsia="Times New Roman" w:hAnsi="Segoe UI" w:cs="Segoe UI"/>
          <w:sz w:val="18"/>
          <w:szCs w:val="18"/>
          <w:lang w:eastAsia="es-CO"/>
        </w:rPr>
        <w:instrText xml:space="preserve"> HYPERLINK "https://www.ceta.org.co/html/vista_de_un_documento.asp?DocumentoID=31827" \l "_ftn3" \o "" </w:instrText>
      </w:r>
      <w:r w:rsidRPr="00951067">
        <w:rPr>
          <w:rFonts w:ascii="Segoe UI" w:eastAsia="Times New Roman" w:hAnsi="Segoe UI" w:cs="Segoe UI"/>
          <w:sz w:val="18"/>
          <w:szCs w:val="18"/>
          <w:lang w:eastAsia="es-CO"/>
        </w:rPr>
        <w:fldChar w:fldCharType="separate"/>
      </w:r>
      <w:r w:rsidRPr="00951067">
        <w:rPr>
          <w:rFonts w:ascii="Segoe UI" w:eastAsia="Times New Roman" w:hAnsi="Segoe UI" w:cs="Segoe UI"/>
          <w:sz w:val="22"/>
          <w:lang w:eastAsia="es-CO"/>
        </w:rPr>
        <w:t>[3]</w:t>
      </w:r>
      <w:r w:rsidRPr="00951067">
        <w:rPr>
          <w:rFonts w:ascii="Segoe UI" w:eastAsia="Times New Roman" w:hAnsi="Segoe UI" w:cs="Segoe UI"/>
          <w:sz w:val="18"/>
          <w:szCs w:val="18"/>
          <w:lang w:eastAsia="es-CO"/>
        </w:rPr>
        <w:fldChar w:fldCharType="end"/>
      </w:r>
      <w:bookmarkEnd w:id="2"/>
      <w:r w:rsidRPr="00951067">
        <w:rPr>
          <w:rFonts w:ascii="Segoe UI" w:eastAsia="Times New Roman" w:hAnsi="Segoe UI" w:cs="Segoe UI"/>
          <w:sz w:val="18"/>
          <w:szCs w:val="18"/>
          <w:lang w:eastAsia="es-CO"/>
        </w:rPr>
        <w:t>.</w:t>
      </w:r>
    </w:p>
    <w:p w:rsidR="00951067" w:rsidRPr="00951067" w:rsidRDefault="00951067" w:rsidP="00951067">
      <w:pPr>
        <w:spacing w:line="240" w:lineRule="auto"/>
        <w:rPr>
          <w:rFonts w:ascii="Arial" w:eastAsia="Times New Roman" w:hAnsi="Arial" w:cs="Arial"/>
          <w:sz w:val="18"/>
          <w:szCs w:val="18"/>
          <w:lang w:eastAsia="es-CO"/>
        </w:rPr>
      </w:pPr>
      <w:r w:rsidRPr="00951067">
        <w:rPr>
          <w:rFonts w:ascii="Segoe UI" w:eastAsia="Times New Roman" w:hAnsi="Segoe UI" w:cs="Segoe UI"/>
          <w:sz w:val="18"/>
          <w:szCs w:val="18"/>
          <w:lang w:eastAsia="es-CO"/>
        </w:rPr>
        <w:t> </w:t>
      </w:r>
    </w:p>
    <w:p w:rsidR="00951067" w:rsidRPr="00951067" w:rsidRDefault="00951067" w:rsidP="00951067">
      <w:pPr>
        <w:spacing w:line="240" w:lineRule="auto"/>
        <w:rPr>
          <w:rFonts w:ascii="Arial" w:eastAsia="Times New Roman" w:hAnsi="Arial" w:cs="Arial"/>
          <w:sz w:val="18"/>
          <w:szCs w:val="18"/>
          <w:lang w:eastAsia="es-CO"/>
        </w:rPr>
      </w:pPr>
      <w:r w:rsidRPr="00951067">
        <w:rPr>
          <w:rFonts w:ascii="Segoe UI" w:eastAsia="Times New Roman" w:hAnsi="Segoe UI" w:cs="Segoe UI"/>
          <w:sz w:val="18"/>
          <w:szCs w:val="18"/>
          <w:lang w:eastAsia="es-CO"/>
        </w:rPr>
        <w:t>Estas mismas reglas se aplican a las normas que crean exenciones y, para el caso concreto, como se vio, la presunta ambigüedad que tenía el decreto por valerse del RUT, no devenía de la propia norma, sino del documento. Mejorado el documento, la presunta ambigüedad queda superada, sin que haya lugar a anular el decreto demandado.</w:t>
      </w:r>
    </w:p>
    <w:p w:rsidR="00951067" w:rsidRPr="00951067" w:rsidRDefault="00951067" w:rsidP="00951067">
      <w:pPr>
        <w:spacing w:line="240" w:lineRule="auto"/>
        <w:rPr>
          <w:rFonts w:ascii="Arial" w:eastAsia="Times New Roman" w:hAnsi="Arial" w:cs="Arial"/>
          <w:sz w:val="18"/>
          <w:szCs w:val="18"/>
          <w:lang w:eastAsia="es-CO"/>
        </w:rPr>
      </w:pPr>
      <w:r w:rsidRPr="00951067">
        <w:rPr>
          <w:rFonts w:ascii="Segoe UI" w:eastAsia="Times New Roman" w:hAnsi="Segoe UI" w:cs="Segoe UI"/>
          <w:sz w:val="18"/>
          <w:szCs w:val="18"/>
          <w:shd w:val="clear" w:color="auto" w:fill="FFFFFF"/>
          <w:lang w:eastAsia="es-CO"/>
        </w:rPr>
        <w:t> </w:t>
      </w:r>
    </w:p>
    <w:p w:rsidR="00951067" w:rsidRPr="00951067" w:rsidRDefault="00951067" w:rsidP="00951067">
      <w:pPr>
        <w:spacing w:line="240" w:lineRule="auto"/>
        <w:rPr>
          <w:rFonts w:ascii="Arial" w:eastAsia="Times New Roman" w:hAnsi="Arial" w:cs="Arial"/>
          <w:sz w:val="18"/>
          <w:szCs w:val="18"/>
          <w:lang w:eastAsia="es-CO"/>
        </w:rPr>
      </w:pPr>
      <w:r w:rsidRPr="00951067">
        <w:rPr>
          <w:rFonts w:ascii="Segoe UI" w:eastAsia="Times New Roman" w:hAnsi="Segoe UI" w:cs="Segoe UI"/>
          <w:sz w:val="18"/>
          <w:szCs w:val="18"/>
          <w:shd w:val="clear" w:color="auto" w:fill="FFFFFF"/>
          <w:lang w:eastAsia="es-CO"/>
        </w:rPr>
        <w:t>Cosa diferente es que el demandante interprete que la norma demandada condiciona el derecho a gozar del beneficio tributario a la entrega del RUT.</w:t>
      </w:r>
    </w:p>
    <w:p w:rsidR="00951067" w:rsidRPr="00951067" w:rsidRDefault="00951067" w:rsidP="00951067">
      <w:pPr>
        <w:spacing w:line="240" w:lineRule="auto"/>
        <w:rPr>
          <w:rFonts w:ascii="Arial" w:eastAsia="Times New Roman" w:hAnsi="Arial" w:cs="Arial"/>
          <w:sz w:val="18"/>
          <w:szCs w:val="18"/>
          <w:lang w:eastAsia="es-CO"/>
        </w:rPr>
      </w:pPr>
      <w:r w:rsidRPr="00951067">
        <w:rPr>
          <w:rFonts w:ascii="Segoe UI" w:eastAsia="Times New Roman" w:hAnsi="Segoe UI" w:cs="Segoe UI"/>
          <w:sz w:val="18"/>
          <w:szCs w:val="18"/>
          <w:shd w:val="clear" w:color="auto" w:fill="FFFFFF"/>
          <w:lang w:eastAsia="es-CO"/>
        </w:rPr>
        <w:t> </w:t>
      </w:r>
    </w:p>
    <w:p w:rsidR="00951067" w:rsidRPr="00951067" w:rsidRDefault="00951067" w:rsidP="00951067">
      <w:pPr>
        <w:spacing w:line="240" w:lineRule="auto"/>
        <w:rPr>
          <w:rFonts w:ascii="Arial" w:eastAsia="Times New Roman" w:hAnsi="Arial" w:cs="Arial"/>
          <w:sz w:val="18"/>
          <w:szCs w:val="18"/>
          <w:lang w:eastAsia="es-CO"/>
        </w:rPr>
      </w:pPr>
      <w:r w:rsidRPr="00951067">
        <w:rPr>
          <w:rFonts w:ascii="Segoe UI" w:eastAsia="Times New Roman" w:hAnsi="Segoe UI" w:cs="Segoe UI"/>
          <w:sz w:val="18"/>
          <w:szCs w:val="18"/>
          <w:shd w:val="clear" w:color="auto" w:fill="FFFFFF"/>
          <w:lang w:eastAsia="es-CO"/>
        </w:rPr>
        <w:t>Sobre el particular, es menester precisar que el artículo 102 de la Ley 1450 de 2011 es el que crea la exención.</w:t>
      </w:r>
    </w:p>
    <w:p w:rsidR="00951067" w:rsidRPr="00951067" w:rsidRDefault="00951067" w:rsidP="00951067">
      <w:pPr>
        <w:spacing w:line="240" w:lineRule="auto"/>
        <w:rPr>
          <w:rFonts w:ascii="Arial" w:eastAsia="Times New Roman" w:hAnsi="Arial" w:cs="Arial"/>
          <w:sz w:val="18"/>
          <w:szCs w:val="18"/>
          <w:lang w:eastAsia="es-CO"/>
        </w:rPr>
      </w:pPr>
      <w:r w:rsidRPr="00951067">
        <w:rPr>
          <w:rFonts w:ascii="Segoe UI" w:eastAsia="Times New Roman" w:hAnsi="Segoe UI" w:cs="Segoe UI"/>
          <w:sz w:val="18"/>
          <w:szCs w:val="18"/>
          <w:shd w:val="clear" w:color="auto" w:fill="FFFFFF"/>
          <w:lang w:eastAsia="es-CO"/>
        </w:rPr>
        <w:t> </w:t>
      </w:r>
    </w:p>
    <w:p w:rsidR="00951067" w:rsidRPr="00951067" w:rsidRDefault="00951067" w:rsidP="00951067">
      <w:pPr>
        <w:spacing w:line="240" w:lineRule="auto"/>
        <w:rPr>
          <w:rFonts w:ascii="Arial" w:eastAsia="Times New Roman" w:hAnsi="Arial" w:cs="Arial"/>
          <w:sz w:val="18"/>
          <w:szCs w:val="18"/>
          <w:lang w:eastAsia="es-CO"/>
        </w:rPr>
      </w:pPr>
      <w:r w:rsidRPr="00951067">
        <w:rPr>
          <w:rFonts w:ascii="Segoe UI" w:eastAsia="Times New Roman" w:hAnsi="Segoe UI" w:cs="Segoe UI"/>
          <w:sz w:val="18"/>
          <w:szCs w:val="18"/>
          <w:shd w:val="clear" w:color="auto" w:fill="FFFFFF"/>
          <w:lang w:eastAsia="es-CO"/>
        </w:rPr>
        <w:t>El Decreto demandado regula el procedimiento y los requisitos para que el usuario haga efectiva la exención de la contribución para que se vea reflejada en el recibo del servicio público de gas natural domiciliario de manera permanente mientras se ostente la condición de usuario industrial.</w:t>
      </w:r>
    </w:p>
    <w:p w:rsidR="00951067" w:rsidRPr="00951067" w:rsidRDefault="00951067" w:rsidP="00951067">
      <w:pPr>
        <w:spacing w:line="240" w:lineRule="auto"/>
        <w:rPr>
          <w:rFonts w:ascii="Arial" w:eastAsia="Times New Roman" w:hAnsi="Arial" w:cs="Arial"/>
          <w:sz w:val="18"/>
          <w:szCs w:val="18"/>
          <w:lang w:eastAsia="es-CO"/>
        </w:rPr>
      </w:pPr>
      <w:r w:rsidRPr="00951067">
        <w:rPr>
          <w:rFonts w:ascii="Segoe UI" w:eastAsia="Times New Roman" w:hAnsi="Segoe UI" w:cs="Segoe UI"/>
          <w:sz w:val="18"/>
          <w:szCs w:val="18"/>
          <w:shd w:val="clear" w:color="auto" w:fill="FFFFFF"/>
          <w:lang w:eastAsia="es-CO"/>
        </w:rPr>
        <w:t> </w:t>
      </w:r>
    </w:p>
    <w:p w:rsidR="00951067" w:rsidRPr="00951067" w:rsidRDefault="00951067" w:rsidP="00951067">
      <w:pPr>
        <w:spacing w:line="240" w:lineRule="auto"/>
        <w:rPr>
          <w:rFonts w:ascii="Arial" w:eastAsia="Times New Roman" w:hAnsi="Arial" w:cs="Arial"/>
          <w:sz w:val="18"/>
          <w:szCs w:val="18"/>
          <w:lang w:eastAsia="es-CO"/>
        </w:rPr>
      </w:pPr>
      <w:r w:rsidRPr="00951067">
        <w:rPr>
          <w:rFonts w:ascii="Segoe UI" w:eastAsia="Times New Roman" w:hAnsi="Segoe UI" w:cs="Segoe UI"/>
          <w:sz w:val="18"/>
          <w:szCs w:val="18"/>
          <w:shd w:val="clear" w:color="auto" w:fill="FFFFFF"/>
          <w:lang w:eastAsia="es-CO"/>
        </w:rPr>
        <w:t>Para el efecto, el parágrafo del artículo 2 del Decreto 4956 de 2011 dispone que el usuario industrial del servicio público de gas natural domiciliario, que cuente con número de identificación de usuario –NIU, debe presentar una solicitud de inclusión o de retiro de ese registro, que identifique las sedes en que ejecuta la actividad principal.</w:t>
      </w:r>
    </w:p>
    <w:p w:rsidR="00951067" w:rsidRPr="00951067" w:rsidRDefault="00951067" w:rsidP="00951067">
      <w:pPr>
        <w:spacing w:line="240" w:lineRule="auto"/>
        <w:rPr>
          <w:rFonts w:ascii="Arial" w:eastAsia="Times New Roman" w:hAnsi="Arial" w:cs="Arial"/>
          <w:sz w:val="18"/>
          <w:szCs w:val="18"/>
          <w:lang w:eastAsia="es-CO"/>
        </w:rPr>
      </w:pPr>
      <w:r w:rsidRPr="00951067">
        <w:rPr>
          <w:rFonts w:ascii="Segoe UI" w:eastAsia="Times New Roman" w:hAnsi="Segoe UI" w:cs="Segoe UI"/>
          <w:sz w:val="18"/>
          <w:szCs w:val="18"/>
          <w:shd w:val="clear" w:color="auto" w:fill="FFFFFF"/>
          <w:lang w:eastAsia="es-CO"/>
        </w:rPr>
        <w:t> </w:t>
      </w:r>
    </w:p>
    <w:p w:rsidR="00951067" w:rsidRPr="00951067" w:rsidRDefault="00951067" w:rsidP="00951067">
      <w:pPr>
        <w:spacing w:line="240" w:lineRule="auto"/>
        <w:rPr>
          <w:rFonts w:ascii="Arial" w:eastAsia="Times New Roman" w:hAnsi="Arial" w:cs="Arial"/>
          <w:sz w:val="18"/>
          <w:szCs w:val="18"/>
          <w:lang w:eastAsia="es-CO"/>
        </w:rPr>
      </w:pPr>
      <w:r w:rsidRPr="00951067">
        <w:rPr>
          <w:rFonts w:ascii="Segoe UI" w:eastAsia="Times New Roman" w:hAnsi="Segoe UI" w:cs="Segoe UI"/>
          <w:sz w:val="18"/>
          <w:szCs w:val="18"/>
          <w:shd w:val="clear" w:color="auto" w:fill="FFFFFF"/>
          <w:lang w:eastAsia="es-CO"/>
        </w:rPr>
        <w:t>Hasta ahí, la norma regula, solamente, el trámite de incorporación o de exclusión al registro NIU.</w:t>
      </w:r>
    </w:p>
    <w:p w:rsidR="00951067" w:rsidRPr="00951067" w:rsidRDefault="00951067" w:rsidP="00951067">
      <w:pPr>
        <w:spacing w:line="240" w:lineRule="auto"/>
        <w:rPr>
          <w:rFonts w:ascii="Arial" w:eastAsia="Times New Roman" w:hAnsi="Arial" w:cs="Arial"/>
          <w:sz w:val="18"/>
          <w:szCs w:val="18"/>
          <w:lang w:eastAsia="es-CO"/>
        </w:rPr>
      </w:pPr>
      <w:r w:rsidRPr="00951067">
        <w:rPr>
          <w:rFonts w:ascii="Segoe UI" w:eastAsia="Times New Roman" w:hAnsi="Segoe UI" w:cs="Segoe UI"/>
          <w:sz w:val="18"/>
          <w:szCs w:val="18"/>
          <w:shd w:val="clear" w:color="auto" w:fill="FFFFFF"/>
          <w:lang w:eastAsia="es-CO"/>
        </w:rPr>
        <w:t> </w:t>
      </w:r>
    </w:p>
    <w:p w:rsidR="00951067" w:rsidRPr="00951067" w:rsidRDefault="00951067" w:rsidP="00951067">
      <w:pPr>
        <w:spacing w:line="240" w:lineRule="auto"/>
        <w:rPr>
          <w:rFonts w:ascii="Arial" w:eastAsia="Times New Roman" w:hAnsi="Arial" w:cs="Arial"/>
          <w:sz w:val="18"/>
          <w:szCs w:val="18"/>
          <w:lang w:eastAsia="es-CO"/>
        </w:rPr>
      </w:pPr>
      <w:r w:rsidRPr="00951067">
        <w:rPr>
          <w:rFonts w:ascii="Segoe UI" w:eastAsia="Times New Roman" w:hAnsi="Segoe UI" w:cs="Segoe UI"/>
          <w:sz w:val="18"/>
          <w:szCs w:val="18"/>
          <w:shd w:val="clear" w:color="auto" w:fill="FFFFFF"/>
          <w:lang w:eastAsia="es-CO"/>
        </w:rPr>
        <w:t>La norma, además, también dispone que el usuario industrial debe anexar a la solicitud una copia del RUT, de vigencia no mayor a treinta días. Y, en concordancia con esta disposición, el artículo 4 del Decreto demandado dispone que la solicitud del beneficio tributario debe presentarse por escrito ante el prestador del servicio público de gas natural, con la copia del RUT, y que esa petición debe resolverla la empresa prestadora del servicio en un plazo de quince días hábiles.</w:t>
      </w:r>
    </w:p>
    <w:p w:rsidR="00951067" w:rsidRPr="00951067" w:rsidRDefault="00951067" w:rsidP="00951067">
      <w:pPr>
        <w:spacing w:line="240" w:lineRule="auto"/>
        <w:rPr>
          <w:rFonts w:ascii="Arial" w:eastAsia="Times New Roman" w:hAnsi="Arial" w:cs="Arial"/>
          <w:sz w:val="18"/>
          <w:szCs w:val="18"/>
          <w:lang w:eastAsia="es-CO"/>
        </w:rPr>
      </w:pPr>
      <w:r w:rsidRPr="00951067">
        <w:rPr>
          <w:rFonts w:ascii="Segoe UI" w:eastAsia="Times New Roman" w:hAnsi="Segoe UI" w:cs="Segoe UI"/>
          <w:sz w:val="18"/>
          <w:szCs w:val="18"/>
          <w:shd w:val="clear" w:color="auto" w:fill="FFFFFF"/>
          <w:lang w:eastAsia="es-CO"/>
        </w:rPr>
        <w:t> </w:t>
      </w:r>
    </w:p>
    <w:p w:rsidR="00951067" w:rsidRPr="00951067" w:rsidRDefault="00951067" w:rsidP="00951067">
      <w:pPr>
        <w:spacing w:line="240" w:lineRule="auto"/>
        <w:rPr>
          <w:rFonts w:ascii="Arial" w:eastAsia="Times New Roman" w:hAnsi="Arial" w:cs="Arial"/>
          <w:sz w:val="18"/>
          <w:szCs w:val="18"/>
          <w:lang w:eastAsia="es-CO"/>
        </w:rPr>
      </w:pPr>
      <w:r w:rsidRPr="00951067">
        <w:rPr>
          <w:rFonts w:ascii="Segoe UI" w:eastAsia="Times New Roman" w:hAnsi="Segoe UI" w:cs="Segoe UI"/>
          <w:sz w:val="18"/>
          <w:szCs w:val="18"/>
          <w:shd w:val="clear" w:color="auto" w:fill="FFFFFF"/>
          <w:lang w:eastAsia="es-CO"/>
        </w:rPr>
        <w:t>En ese contexto, para la Sala, el Decreto demandado debe interpretarse en el sentido de que encarga a las empresas prestadoras del servicio público domiciliario de gas la verificación de la actividad económica del usuario industrial, información que puede ser verificada en el RUT.</w:t>
      </w:r>
    </w:p>
    <w:p w:rsidR="00951067" w:rsidRPr="00951067" w:rsidRDefault="00951067" w:rsidP="00951067">
      <w:pPr>
        <w:spacing w:line="240" w:lineRule="auto"/>
        <w:rPr>
          <w:rFonts w:ascii="Arial" w:eastAsia="Times New Roman" w:hAnsi="Arial" w:cs="Arial"/>
          <w:sz w:val="18"/>
          <w:szCs w:val="18"/>
          <w:lang w:eastAsia="es-CO"/>
        </w:rPr>
      </w:pPr>
      <w:r w:rsidRPr="00951067">
        <w:rPr>
          <w:rFonts w:ascii="Segoe UI" w:eastAsia="Times New Roman" w:hAnsi="Segoe UI" w:cs="Segoe UI"/>
          <w:sz w:val="18"/>
          <w:szCs w:val="18"/>
          <w:shd w:val="clear" w:color="auto" w:fill="FFFFFF"/>
          <w:lang w:eastAsia="es-CO"/>
        </w:rPr>
        <w:t> </w:t>
      </w:r>
    </w:p>
    <w:p w:rsidR="00951067" w:rsidRPr="00951067" w:rsidRDefault="00951067" w:rsidP="00951067">
      <w:pPr>
        <w:spacing w:line="240" w:lineRule="auto"/>
        <w:rPr>
          <w:rFonts w:ascii="Arial" w:eastAsia="Times New Roman" w:hAnsi="Arial" w:cs="Arial"/>
          <w:sz w:val="18"/>
          <w:szCs w:val="18"/>
          <w:lang w:eastAsia="es-CO"/>
        </w:rPr>
      </w:pPr>
      <w:r w:rsidRPr="00951067">
        <w:rPr>
          <w:rFonts w:ascii="Segoe UI" w:eastAsia="Times New Roman" w:hAnsi="Segoe UI" w:cs="Segoe UI"/>
          <w:sz w:val="18"/>
          <w:szCs w:val="18"/>
          <w:shd w:val="clear" w:color="auto" w:fill="FFFFFF"/>
          <w:lang w:eastAsia="es-CO"/>
        </w:rPr>
        <w:t>El RUT es el mecanismo idóneo de verificación de la calidad de usuario industrial del servicio de gas natural domiciliario, porque en ese documento se reporta o informa la actividad económica principal y la secundaria que desarrolle cualquier contribuyente y, por tanto, cualquier persona que tenga acceso a ese documento puede verificar que la actividad económica principal del usuario corresponda a los códigos 011 a 456 que fijó la Resolución 432 de 2008. Siendo así, para la Sala, el decreto demandado no vulnera ninguna ley.</w:t>
      </w:r>
    </w:p>
    <w:p w:rsidR="00951067" w:rsidRPr="00951067" w:rsidRDefault="00951067" w:rsidP="00951067">
      <w:pPr>
        <w:spacing w:line="240" w:lineRule="auto"/>
        <w:rPr>
          <w:rFonts w:ascii="Arial" w:eastAsia="Times New Roman" w:hAnsi="Arial" w:cs="Arial"/>
          <w:sz w:val="18"/>
          <w:szCs w:val="18"/>
          <w:lang w:eastAsia="es-CO"/>
        </w:rPr>
      </w:pPr>
      <w:r w:rsidRPr="00951067">
        <w:rPr>
          <w:rFonts w:ascii="Segoe UI" w:eastAsia="Times New Roman" w:hAnsi="Segoe UI" w:cs="Segoe UI"/>
          <w:sz w:val="18"/>
          <w:szCs w:val="18"/>
          <w:shd w:val="clear" w:color="auto" w:fill="FFFFFF"/>
          <w:lang w:eastAsia="es-CO"/>
        </w:rPr>
        <w:t> </w:t>
      </w:r>
    </w:p>
    <w:p w:rsidR="00951067" w:rsidRPr="00951067" w:rsidRDefault="00951067" w:rsidP="00951067">
      <w:pPr>
        <w:spacing w:line="240" w:lineRule="auto"/>
        <w:rPr>
          <w:rFonts w:ascii="Arial" w:eastAsia="Times New Roman" w:hAnsi="Arial" w:cs="Arial"/>
          <w:sz w:val="18"/>
          <w:szCs w:val="18"/>
          <w:lang w:eastAsia="es-CO"/>
        </w:rPr>
      </w:pPr>
      <w:r w:rsidRPr="00951067">
        <w:rPr>
          <w:rFonts w:ascii="Segoe UI" w:eastAsia="Times New Roman" w:hAnsi="Segoe UI" w:cs="Segoe UI"/>
          <w:sz w:val="18"/>
          <w:szCs w:val="18"/>
          <w:shd w:val="clear" w:color="auto" w:fill="FFFFFF"/>
          <w:lang w:eastAsia="es-CO"/>
        </w:rPr>
        <w:t>Ahora bien, como la exención a favor de los usuarios industriales deriva de la ley, es razonable que para efectos de la verificación anteriormente aludida, el decreto reglamentario haya previsto que el usuario industrial del servicio de gas natural domiciliario, sujeto interesado en gozar de la exención, entregue a la empresa prestadora del servicio de gas natural domiciliario una copia del RUT.</w:t>
      </w:r>
    </w:p>
    <w:p w:rsidR="00951067" w:rsidRPr="00951067" w:rsidRDefault="00951067" w:rsidP="00951067">
      <w:pPr>
        <w:spacing w:line="240" w:lineRule="auto"/>
        <w:rPr>
          <w:rFonts w:ascii="Arial" w:eastAsia="Times New Roman" w:hAnsi="Arial" w:cs="Arial"/>
          <w:sz w:val="18"/>
          <w:szCs w:val="18"/>
          <w:lang w:eastAsia="es-CO"/>
        </w:rPr>
      </w:pPr>
      <w:r w:rsidRPr="00951067">
        <w:rPr>
          <w:rFonts w:ascii="Segoe UI" w:eastAsia="Times New Roman" w:hAnsi="Segoe UI" w:cs="Segoe UI"/>
          <w:sz w:val="18"/>
          <w:szCs w:val="18"/>
          <w:shd w:val="clear" w:color="auto" w:fill="FFFFFF"/>
          <w:lang w:eastAsia="es-CO"/>
        </w:rPr>
        <w:t> </w:t>
      </w:r>
    </w:p>
    <w:p w:rsidR="00951067" w:rsidRPr="00951067" w:rsidRDefault="00951067" w:rsidP="00951067">
      <w:pPr>
        <w:spacing w:line="240" w:lineRule="auto"/>
        <w:rPr>
          <w:rFonts w:ascii="Arial" w:eastAsia="Times New Roman" w:hAnsi="Arial" w:cs="Arial"/>
          <w:sz w:val="18"/>
          <w:szCs w:val="18"/>
          <w:lang w:eastAsia="es-CO"/>
        </w:rPr>
      </w:pPr>
      <w:r w:rsidRPr="00951067">
        <w:rPr>
          <w:rFonts w:ascii="Segoe UI" w:eastAsia="Times New Roman" w:hAnsi="Segoe UI" w:cs="Segoe UI"/>
          <w:sz w:val="18"/>
          <w:szCs w:val="18"/>
          <w:shd w:val="clear" w:color="auto" w:fill="FFFFFF"/>
          <w:lang w:eastAsia="es-CO"/>
        </w:rPr>
        <w:t xml:space="preserve">Si bien es cierto que la Superintendencia de Servicios Públicos Domiciliarios o las empresas prestadoras del servicio público pueden pedir a la DIAN, en virtud del principio de coordinación, y en virtud del Decreto Ley 019 de 2012 sobre anti trámites, que suministre la información del código de actividad económica que los usuarios industriales del servicio público de gas domiciliario consignaron en el RUT, no es nulo el decreto demandado por disponer que el usuario industrial debe aportar una copia del RUT para hacer efectivo el beneficio por primera </w:t>
      </w:r>
      <w:r w:rsidRPr="00951067">
        <w:rPr>
          <w:rFonts w:ascii="Segoe UI" w:eastAsia="Times New Roman" w:hAnsi="Segoe UI" w:cs="Segoe UI"/>
          <w:sz w:val="18"/>
          <w:szCs w:val="18"/>
          <w:shd w:val="clear" w:color="auto" w:fill="FFFFFF"/>
          <w:lang w:eastAsia="es-CO"/>
        </w:rPr>
        <w:lastRenderedPageBreak/>
        <w:t>vez, pues esa medida se establece en beneficio propio, no en su contra, precisamente para facilitar el trámite de reconocimiento del beneficio.</w:t>
      </w:r>
    </w:p>
    <w:p w:rsidR="00951067" w:rsidRPr="00951067" w:rsidRDefault="00951067" w:rsidP="00951067">
      <w:pPr>
        <w:spacing w:line="240" w:lineRule="auto"/>
        <w:rPr>
          <w:rFonts w:ascii="Arial" w:eastAsia="Times New Roman" w:hAnsi="Arial" w:cs="Arial"/>
          <w:sz w:val="18"/>
          <w:szCs w:val="18"/>
          <w:lang w:eastAsia="es-CO"/>
        </w:rPr>
      </w:pPr>
      <w:r w:rsidRPr="00951067">
        <w:rPr>
          <w:rFonts w:ascii="Segoe UI" w:eastAsia="Times New Roman" w:hAnsi="Segoe UI" w:cs="Segoe UI"/>
          <w:sz w:val="18"/>
          <w:szCs w:val="18"/>
          <w:shd w:val="clear" w:color="auto" w:fill="FFFFFF"/>
          <w:lang w:eastAsia="es-CO"/>
        </w:rPr>
        <w:t> </w:t>
      </w:r>
    </w:p>
    <w:p w:rsidR="00951067" w:rsidRPr="00951067" w:rsidRDefault="00951067" w:rsidP="00951067">
      <w:pPr>
        <w:spacing w:line="240" w:lineRule="auto"/>
        <w:rPr>
          <w:rFonts w:ascii="Arial" w:eastAsia="Times New Roman" w:hAnsi="Arial" w:cs="Arial"/>
          <w:sz w:val="18"/>
          <w:szCs w:val="18"/>
          <w:lang w:eastAsia="es-CO"/>
        </w:rPr>
      </w:pPr>
      <w:r w:rsidRPr="00951067">
        <w:rPr>
          <w:rFonts w:ascii="Segoe UI" w:eastAsia="Times New Roman" w:hAnsi="Segoe UI" w:cs="Segoe UI"/>
          <w:sz w:val="18"/>
          <w:szCs w:val="18"/>
          <w:highlight w:val="green"/>
          <w:shd w:val="clear" w:color="auto" w:fill="FFFFFF"/>
          <w:lang w:eastAsia="es-CO"/>
        </w:rPr>
        <w:t>Pero sí resulta contrario a la Ley anti trámites que el parágrafo del artículo 5º del Decreto 4956 de 2011 exija el RUT periódicamente porque, conforme lo precisa el parágrafo del artículo 9 del Decreto Ley 019 de 2012, a partir del primero de enero de 2013, ninguna entidad puede exigir a los particulares, para efectos de trámites y procedimientos, el suministro de información que repose en los archivos de otra entidad. En consecuencia, la Sala anulará esta disposición.</w:t>
      </w:r>
      <w:bookmarkStart w:id="3" w:name="_GoBack"/>
      <w:bookmarkEnd w:id="3"/>
    </w:p>
    <w:p w:rsidR="00951067" w:rsidRPr="00951067" w:rsidRDefault="00951067" w:rsidP="00951067">
      <w:pPr>
        <w:spacing w:line="240" w:lineRule="auto"/>
        <w:rPr>
          <w:rFonts w:ascii="Arial" w:eastAsia="Times New Roman" w:hAnsi="Arial" w:cs="Arial"/>
          <w:sz w:val="18"/>
          <w:szCs w:val="18"/>
          <w:lang w:eastAsia="es-CO"/>
        </w:rPr>
      </w:pPr>
      <w:r w:rsidRPr="00951067">
        <w:rPr>
          <w:rFonts w:ascii="Segoe UI" w:eastAsia="Times New Roman" w:hAnsi="Segoe UI" w:cs="Segoe UI"/>
          <w:sz w:val="18"/>
          <w:szCs w:val="18"/>
          <w:shd w:val="clear" w:color="auto" w:fill="FFFFFF"/>
          <w:lang w:eastAsia="es-CO"/>
        </w:rPr>
        <w:t> </w:t>
      </w:r>
    </w:p>
    <w:p w:rsidR="00951067" w:rsidRPr="00951067" w:rsidRDefault="00951067" w:rsidP="00951067">
      <w:pPr>
        <w:spacing w:line="240" w:lineRule="auto"/>
        <w:rPr>
          <w:rFonts w:ascii="Arial" w:eastAsia="Times New Roman" w:hAnsi="Arial" w:cs="Arial"/>
          <w:sz w:val="18"/>
          <w:szCs w:val="18"/>
          <w:lang w:eastAsia="es-CO"/>
        </w:rPr>
      </w:pPr>
      <w:r w:rsidRPr="00951067">
        <w:rPr>
          <w:rFonts w:ascii="Segoe UI" w:eastAsia="Times New Roman" w:hAnsi="Segoe UI" w:cs="Segoe UI"/>
          <w:sz w:val="18"/>
          <w:szCs w:val="18"/>
          <w:shd w:val="clear" w:color="auto" w:fill="FFFFFF"/>
          <w:lang w:eastAsia="es-CO"/>
        </w:rPr>
        <w:t>La Sala aclara, además, que el usuario industrial tendrá derecho a gozar de la exención a partir de la vigencia de la ley, pues, se reitera, el beneficio tributario nace a partir de la publicación de la Ley 1450 de 2011 en favor de quienes ostenten la condición de usuarios industriales del servicio de gas natural domiciliario, cuya actividad económica principal corresponda a los códigos 011 a 456 de la Resolución 432 de 2008. De manera que, no es constitucionalmente plausible interpretar que la medida de exigir el RUT se hace para obtener el beneficio o para conservarlo. Se exige, simplemente, para verificar una condición que exige la ley: la de ser usuario industrial del servicio de gas.</w:t>
      </w:r>
    </w:p>
    <w:p w:rsidR="00951067" w:rsidRPr="00951067" w:rsidRDefault="00951067" w:rsidP="00951067">
      <w:pPr>
        <w:spacing w:line="240" w:lineRule="auto"/>
        <w:rPr>
          <w:rFonts w:ascii="Arial" w:eastAsia="Times New Roman" w:hAnsi="Arial" w:cs="Arial"/>
          <w:sz w:val="18"/>
          <w:szCs w:val="18"/>
          <w:lang w:eastAsia="es-CO"/>
        </w:rPr>
      </w:pPr>
      <w:r w:rsidRPr="00951067">
        <w:rPr>
          <w:rFonts w:ascii="Segoe UI" w:eastAsia="Times New Roman" w:hAnsi="Segoe UI" w:cs="Segoe UI"/>
          <w:sz w:val="18"/>
          <w:szCs w:val="18"/>
          <w:shd w:val="clear" w:color="auto" w:fill="FFFFFF"/>
          <w:lang w:eastAsia="es-CO"/>
        </w:rPr>
        <w:t> </w:t>
      </w:r>
    </w:p>
    <w:p w:rsidR="00951067" w:rsidRPr="00951067" w:rsidRDefault="00951067" w:rsidP="00951067">
      <w:pPr>
        <w:spacing w:line="240" w:lineRule="auto"/>
        <w:rPr>
          <w:rFonts w:ascii="Arial" w:eastAsia="Times New Roman" w:hAnsi="Arial" w:cs="Arial"/>
          <w:sz w:val="18"/>
          <w:szCs w:val="18"/>
          <w:lang w:eastAsia="es-CO"/>
        </w:rPr>
      </w:pPr>
      <w:r w:rsidRPr="00951067">
        <w:rPr>
          <w:rFonts w:ascii="Segoe UI" w:eastAsia="Times New Roman" w:hAnsi="Segoe UI" w:cs="Segoe UI"/>
          <w:sz w:val="18"/>
          <w:szCs w:val="18"/>
          <w:shd w:val="clear" w:color="auto" w:fill="FFFFFF"/>
          <w:lang w:eastAsia="es-CO"/>
        </w:rPr>
        <w:t>Así visto, la actividad de verificación del RUT que pueden ejecutar las empresas prestadoras del servicio público de gas domiciliario no excede la facultad reglamentaria otorgada por el artículo 102 de la Ley 1450, no desconoce el principio de predeterminación tributaria.</w:t>
      </w:r>
    </w:p>
    <w:p w:rsidR="00951067" w:rsidRPr="00951067" w:rsidRDefault="00951067" w:rsidP="00951067">
      <w:pPr>
        <w:spacing w:line="240" w:lineRule="auto"/>
        <w:rPr>
          <w:rFonts w:ascii="Arial" w:eastAsia="Times New Roman" w:hAnsi="Arial" w:cs="Arial"/>
          <w:sz w:val="18"/>
          <w:szCs w:val="18"/>
          <w:lang w:eastAsia="es-CO"/>
        </w:rPr>
      </w:pPr>
      <w:r w:rsidRPr="00951067">
        <w:rPr>
          <w:rFonts w:ascii="Segoe UI" w:eastAsia="Times New Roman" w:hAnsi="Segoe UI" w:cs="Segoe UI"/>
          <w:sz w:val="18"/>
          <w:szCs w:val="18"/>
          <w:shd w:val="clear" w:color="auto" w:fill="FFFFFF"/>
          <w:lang w:eastAsia="es-CO"/>
        </w:rPr>
        <w:t> </w:t>
      </w:r>
    </w:p>
    <w:p w:rsidR="00951067" w:rsidRPr="00951067" w:rsidRDefault="00951067" w:rsidP="00951067">
      <w:pPr>
        <w:spacing w:line="240" w:lineRule="auto"/>
        <w:rPr>
          <w:rFonts w:ascii="Arial" w:eastAsia="Times New Roman" w:hAnsi="Arial" w:cs="Arial"/>
          <w:sz w:val="18"/>
          <w:szCs w:val="18"/>
          <w:lang w:eastAsia="es-CO"/>
        </w:rPr>
      </w:pPr>
      <w:r w:rsidRPr="00951067">
        <w:rPr>
          <w:rFonts w:ascii="Segoe UI" w:eastAsia="Times New Roman" w:hAnsi="Segoe UI" w:cs="Segoe UI"/>
          <w:sz w:val="18"/>
          <w:szCs w:val="18"/>
          <w:shd w:val="clear" w:color="auto" w:fill="FFFFFF"/>
          <w:lang w:eastAsia="es-CO"/>
        </w:rPr>
        <w:t>Tampoco desconoce el principio de razonabilidad en la potestad reglamentaria del ejecutivo, pues esta medida se ajusta al espíritu de la norma reglamentada y sirve, razonablemente, a la finalidad esencial perseguida, esto es, a la realización de un adecuado control entre las distintas clases de usuarios del servicio público domiciliario de gas natural, para efectos de la exención en el pago de la contribución.</w:t>
      </w:r>
    </w:p>
    <w:p w:rsidR="00951067" w:rsidRPr="00951067" w:rsidRDefault="00951067" w:rsidP="00951067">
      <w:pPr>
        <w:spacing w:line="240" w:lineRule="auto"/>
        <w:rPr>
          <w:rFonts w:ascii="Arial" w:eastAsia="Times New Roman" w:hAnsi="Arial" w:cs="Arial"/>
          <w:sz w:val="18"/>
          <w:szCs w:val="18"/>
          <w:lang w:eastAsia="es-CO"/>
        </w:rPr>
      </w:pPr>
      <w:r w:rsidRPr="00951067">
        <w:rPr>
          <w:rFonts w:ascii="Segoe UI" w:eastAsia="Times New Roman" w:hAnsi="Segoe UI" w:cs="Segoe UI"/>
          <w:sz w:val="18"/>
          <w:szCs w:val="18"/>
          <w:shd w:val="clear" w:color="auto" w:fill="FFFFFF"/>
          <w:lang w:eastAsia="es-CO"/>
        </w:rPr>
        <w:t> </w:t>
      </w:r>
    </w:p>
    <w:p w:rsidR="00951067" w:rsidRPr="00951067" w:rsidRDefault="00951067" w:rsidP="00951067">
      <w:pPr>
        <w:spacing w:line="240" w:lineRule="auto"/>
        <w:rPr>
          <w:rFonts w:ascii="Arial" w:eastAsia="Times New Roman" w:hAnsi="Arial" w:cs="Arial"/>
          <w:sz w:val="18"/>
          <w:szCs w:val="18"/>
          <w:lang w:eastAsia="es-CO"/>
        </w:rPr>
      </w:pPr>
      <w:r w:rsidRPr="00951067">
        <w:rPr>
          <w:rFonts w:ascii="Segoe UI" w:eastAsia="Times New Roman" w:hAnsi="Segoe UI" w:cs="Segoe UI"/>
          <w:sz w:val="18"/>
          <w:szCs w:val="18"/>
          <w:shd w:val="clear" w:color="auto" w:fill="FFFFFF"/>
          <w:lang w:eastAsia="es-CO"/>
        </w:rPr>
        <w:t>No prospera el cargo.</w:t>
      </w:r>
    </w:p>
    <w:p w:rsidR="00951067" w:rsidRPr="00951067" w:rsidRDefault="00951067" w:rsidP="00951067">
      <w:pPr>
        <w:spacing w:line="240" w:lineRule="auto"/>
        <w:rPr>
          <w:rFonts w:ascii="Arial" w:eastAsia="Times New Roman" w:hAnsi="Arial" w:cs="Arial"/>
          <w:sz w:val="18"/>
          <w:szCs w:val="18"/>
          <w:lang w:eastAsia="es-CO"/>
        </w:rPr>
      </w:pPr>
      <w:r w:rsidRPr="00951067">
        <w:rPr>
          <w:rFonts w:ascii="Segoe UI" w:eastAsia="Times New Roman" w:hAnsi="Segoe UI" w:cs="Segoe UI"/>
          <w:sz w:val="18"/>
          <w:szCs w:val="18"/>
          <w:shd w:val="clear" w:color="auto" w:fill="FFFFFF"/>
          <w:lang w:eastAsia="es-CO"/>
        </w:rPr>
        <w:t> </w:t>
      </w:r>
    </w:p>
    <w:p w:rsidR="00951067" w:rsidRPr="00951067" w:rsidRDefault="00951067" w:rsidP="00951067">
      <w:pPr>
        <w:spacing w:line="240" w:lineRule="auto"/>
        <w:rPr>
          <w:rFonts w:ascii="Arial" w:eastAsia="Times New Roman" w:hAnsi="Arial" w:cs="Arial"/>
          <w:sz w:val="18"/>
          <w:szCs w:val="18"/>
          <w:lang w:eastAsia="es-CO"/>
        </w:rPr>
      </w:pPr>
      <w:r w:rsidRPr="00951067">
        <w:rPr>
          <w:rFonts w:ascii="Segoe UI" w:eastAsia="Times New Roman" w:hAnsi="Segoe UI" w:cs="Segoe UI"/>
          <w:b/>
          <w:bCs/>
          <w:sz w:val="18"/>
          <w:szCs w:val="18"/>
          <w:shd w:val="clear" w:color="auto" w:fill="FFFFFF"/>
          <w:lang w:eastAsia="es-CO"/>
        </w:rPr>
        <w:t>1.2.3. Tercer problema jurídico</w:t>
      </w:r>
    </w:p>
    <w:p w:rsidR="00951067" w:rsidRPr="00951067" w:rsidRDefault="00951067" w:rsidP="00951067">
      <w:pPr>
        <w:spacing w:line="240" w:lineRule="auto"/>
        <w:rPr>
          <w:rFonts w:ascii="Arial" w:eastAsia="Times New Roman" w:hAnsi="Arial" w:cs="Arial"/>
          <w:sz w:val="18"/>
          <w:szCs w:val="18"/>
          <w:lang w:eastAsia="es-CO"/>
        </w:rPr>
      </w:pPr>
      <w:r w:rsidRPr="00951067">
        <w:rPr>
          <w:rFonts w:ascii="Segoe UI" w:eastAsia="Times New Roman" w:hAnsi="Segoe UI" w:cs="Segoe UI"/>
          <w:b/>
          <w:bCs/>
          <w:sz w:val="18"/>
          <w:szCs w:val="18"/>
          <w:shd w:val="clear" w:color="auto" w:fill="FFFFFF"/>
          <w:lang w:eastAsia="es-CO"/>
        </w:rPr>
        <w:t> </w:t>
      </w:r>
    </w:p>
    <w:p w:rsidR="00951067" w:rsidRPr="00951067" w:rsidRDefault="00951067" w:rsidP="00951067">
      <w:pPr>
        <w:spacing w:line="240" w:lineRule="auto"/>
        <w:rPr>
          <w:rFonts w:ascii="Arial" w:eastAsia="Times New Roman" w:hAnsi="Arial" w:cs="Arial"/>
          <w:sz w:val="18"/>
          <w:szCs w:val="18"/>
          <w:lang w:eastAsia="es-CO"/>
        </w:rPr>
      </w:pPr>
      <w:r w:rsidRPr="00951067">
        <w:rPr>
          <w:rFonts w:ascii="Segoe UI" w:eastAsia="Times New Roman" w:hAnsi="Segoe UI" w:cs="Segoe UI"/>
          <w:sz w:val="18"/>
          <w:szCs w:val="18"/>
          <w:lang w:eastAsia="es-CO"/>
        </w:rPr>
        <w:t>¿El parágrafo 2 del artículo 4 del Decreto 4956 de 2011 viola el artículo 153 de la Ley 142 de 1994 por fijar el plazo de 15 días hábiles para resolver la solicitud para obtener la exención, habida cuenta de que el artículo 153 no trae plazo alguno?</w:t>
      </w:r>
    </w:p>
    <w:p w:rsidR="00951067" w:rsidRPr="00951067" w:rsidRDefault="00951067" w:rsidP="00951067">
      <w:pPr>
        <w:spacing w:line="240" w:lineRule="auto"/>
        <w:rPr>
          <w:rFonts w:ascii="Arial" w:eastAsia="Times New Roman" w:hAnsi="Arial" w:cs="Arial"/>
          <w:sz w:val="18"/>
          <w:szCs w:val="18"/>
          <w:lang w:eastAsia="es-CO"/>
        </w:rPr>
      </w:pPr>
      <w:r w:rsidRPr="00951067">
        <w:rPr>
          <w:rFonts w:ascii="Segoe UI" w:eastAsia="Times New Roman" w:hAnsi="Segoe UI" w:cs="Segoe UI"/>
          <w:b/>
          <w:bCs/>
          <w:sz w:val="18"/>
          <w:szCs w:val="18"/>
          <w:shd w:val="clear" w:color="auto" w:fill="FFFFFF"/>
          <w:lang w:eastAsia="es-CO"/>
        </w:rPr>
        <w:t> </w:t>
      </w:r>
    </w:p>
    <w:p w:rsidR="00951067" w:rsidRPr="00951067" w:rsidRDefault="00951067" w:rsidP="00951067">
      <w:pPr>
        <w:spacing w:line="240" w:lineRule="auto"/>
        <w:rPr>
          <w:rFonts w:ascii="Arial" w:eastAsia="Times New Roman" w:hAnsi="Arial" w:cs="Arial"/>
          <w:sz w:val="18"/>
          <w:szCs w:val="18"/>
          <w:lang w:eastAsia="es-CO"/>
        </w:rPr>
      </w:pPr>
      <w:r w:rsidRPr="00951067">
        <w:rPr>
          <w:rFonts w:ascii="Segoe UI" w:eastAsia="Times New Roman" w:hAnsi="Segoe UI" w:cs="Segoe UI"/>
          <w:sz w:val="18"/>
          <w:szCs w:val="18"/>
          <w:shd w:val="clear" w:color="auto" w:fill="FFFFFF"/>
          <w:lang w:eastAsia="es-CO"/>
        </w:rPr>
        <w:t>La Sala considera que no se configura esta violación.</w:t>
      </w:r>
    </w:p>
    <w:p w:rsidR="00951067" w:rsidRPr="00951067" w:rsidRDefault="00951067" w:rsidP="00951067">
      <w:pPr>
        <w:spacing w:line="240" w:lineRule="auto"/>
        <w:rPr>
          <w:rFonts w:ascii="Arial" w:eastAsia="Times New Roman" w:hAnsi="Arial" w:cs="Arial"/>
          <w:sz w:val="18"/>
          <w:szCs w:val="18"/>
          <w:lang w:eastAsia="es-CO"/>
        </w:rPr>
      </w:pPr>
      <w:r w:rsidRPr="00951067">
        <w:rPr>
          <w:rFonts w:ascii="Segoe UI" w:eastAsia="Times New Roman" w:hAnsi="Segoe UI" w:cs="Segoe UI"/>
          <w:sz w:val="18"/>
          <w:szCs w:val="18"/>
          <w:shd w:val="clear" w:color="auto" w:fill="FFFFFF"/>
          <w:lang w:eastAsia="es-CO"/>
        </w:rPr>
        <w:t> </w:t>
      </w:r>
    </w:p>
    <w:p w:rsidR="00951067" w:rsidRPr="00951067" w:rsidRDefault="00951067" w:rsidP="00951067">
      <w:pPr>
        <w:spacing w:line="240" w:lineRule="auto"/>
        <w:rPr>
          <w:rFonts w:ascii="Arial" w:eastAsia="Times New Roman" w:hAnsi="Arial" w:cs="Arial"/>
          <w:sz w:val="18"/>
          <w:szCs w:val="18"/>
          <w:lang w:eastAsia="es-CO"/>
        </w:rPr>
      </w:pPr>
      <w:r w:rsidRPr="00951067">
        <w:rPr>
          <w:rFonts w:ascii="Segoe UI" w:eastAsia="Times New Roman" w:hAnsi="Segoe UI" w:cs="Segoe UI"/>
          <w:sz w:val="18"/>
          <w:szCs w:val="18"/>
          <w:shd w:val="clear" w:color="auto" w:fill="FFFFFF"/>
          <w:lang w:eastAsia="es-CO"/>
        </w:rPr>
        <w:t>La Sala advierte que los artículos 153 a 158 de la Ley 142 de 1994 regulan el trámite de peticiones, quejas y recursos que pueden presentar los usuarios de los servicios públicos domiciliarios ante las empresas prestadoras de esos servicios. El artículo 153 dispone que las peticiones y recursos presentados ante las empresas prestadoras de servicios públicos domiciliarios se tramitan de conformidad con las normas vigentes sobre el derecho de petición, sin fijar plazo alguno para resolver la petición.</w:t>
      </w:r>
    </w:p>
    <w:p w:rsidR="00951067" w:rsidRPr="00951067" w:rsidRDefault="00951067" w:rsidP="00951067">
      <w:pPr>
        <w:spacing w:line="240" w:lineRule="auto"/>
        <w:rPr>
          <w:rFonts w:ascii="Arial" w:eastAsia="Times New Roman" w:hAnsi="Arial" w:cs="Arial"/>
          <w:sz w:val="18"/>
          <w:szCs w:val="18"/>
          <w:lang w:eastAsia="es-CO"/>
        </w:rPr>
      </w:pPr>
      <w:r w:rsidRPr="00951067">
        <w:rPr>
          <w:rFonts w:ascii="Segoe UI" w:eastAsia="Times New Roman" w:hAnsi="Segoe UI" w:cs="Segoe UI"/>
          <w:sz w:val="18"/>
          <w:szCs w:val="18"/>
          <w:shd w:val="clear" w:color="auto" w:fill="FFFFFF"/>
          <w:lang w:eastAsia="es-CO"/>
        </w:rPr>
        <w:t> </w:t>
      </w:r>
    </w:p>
    <w:p w:rsidR="00951067" w:rsidRPr="00951067" w:rsidRDefault="00951067" w:rsidP="00951067">
      <w:pPr>
        <w:spacing w:line="240" w:lineRule="auto"/>
        <w:rPr>
          <w:rFonts w:ascii="Arial" w:eastAsia="Times New Roman" w:hAnsi="Arial" w:cs="Arial"/>
          <w:sz w:val="18"/>
          <w:szCs w:val="18"/>
          <w:lang w:eastAsia="es-CO"/>
        </w:rPr>
      </w:pPr>
      <w:r w:rsidRPr="00951067">
        <w:rPr>
          <w:rFonts w:ascii="Segoe UI" w:eastAsia="Times New Roman" w:hAnsi="Segoe UI" w:cs="Segoe UI"/>
          <w:sz w:val="18"/>
          <w:szCs w:val="18"/>
          <w:shd w:val="clear" w:color="auto" w:fill="FFFFFF"/>
          <w:lang w:eastAsia="es-CO"/>
        </w:rPr>
        <w:t>La demandante alegó que el parágrafo 2 del artículo 4 del Decreto 4956 de 2011 es nulo porque remitió al artículo 153 de la Ley 142 de 1994, para decir que se aplica un plazo no previsto en esa norma.</w:t>
      </w:r>
    </w:p>
    <w:p w:rsidR="00951067" w:rsidRPr="00951067" w:rsidRDefault="00951067" w:rsidP="00951067">
      <w:pPr>
        <w:spacing w:line="240" w:lineRule="auto"/>
        <w:rPr>
          <w:rFonts w:ascii="Arial" w:eastAsia="Times New Roman" w:hAnsi="Arial" w:cs="Arial"/>
          <w:sz w:val="18"/>
          <w:szCs w:val="18"/>
          <w:lang w:eastAsia="es-CO"/>
        </w:rPr>
      </w:pPr>
      <w:r w:rsidRPr="00951067">
        <w:rPr>
          <w:rFonts w:ascii="Segoe UI" w:eastAsia="Times New Roman" w:hAnsi="Segoe UI" w:cs="Segoe UI"/>
          <w:sz w:val="18"/>
          <w:szCs w:val="18"/>
          <w:shd w:val="clear" w:color="auto" w:fill="FFFFFF"/>
          <w:lang w:eastAsia="es-CO"/>
        </w:rPr>
        <w:t> </w:t>
      </w:r>
    </w:p>
    <w:p w:rsidR="00951067" w:rsidRPr="00951067" w:rsidRDefault="00951067" w:rsidP="00951067">
      <w:pPr>
        <w:spacing w:line="240" w:lineRule="auto"/>
        <w:rPr>
          <w:rFonts w:ascii="Arial" w:eastAsia="Times New Roman" w:hAnsi="Arial" w:cs="Arial"/>
          <w:sz w:val="18"/>
          <w:szCs w:val="18"/>
          <w:lang w:eastAsia="es-CO"/>
        </w:rPr>
      </w:pPr>
      <w:r w:rsidRPr="00951067">
        <w:rPr>
          <w:rFonts w:ascii="Segoe UI" w:eastAsia="Times New Roman" w:hAnsi="Segoe UI" w:cs="Segoe UI"/>
          <w:sz w:val="18"/>
          <w:szCs w:val="18"/>
          <w:shd w:val="clear" w:color="auto" w:fill="FFFFFF"/>
          <w:lang w:eastAsia="es-CO"/>
        </w:rPr>
        <w:t>Para la Sala, esa situación no genera nulidad alguna porque el plazo de 15 días está previsto en las normas vigentes que regulan el derecho de petición, esto es, Ley 1755 de 2015. En ese sentido, no se advierte contradicción alguna que genera la nulidad de la norma demandada.</w:t>
      </w:r>
    </w:p>
    <w:p w:rsidR="00951067" w:rsidRPr="00951067" w:rsidRDefault="00951067" w:rsidP="00951067">
      <w:pPr>
        <w:spacing w:line="240" w:lineRule="auto"/>
        <w:rPr>
          <w:rFonts w:ascii="Arial" w:eastAsia="Times New Roman" w:hAnsi="Arial" w:cs="Arial"/>
          <w:sz w:val="18"/>
          <w:szCs w:val="18"/>
          <w:lang w:eastAsia="es-CO"/>
        </w:rPr>
      </w:pPr>
      <w:r w:rsidRPr="00951067">
        <w:rPr>
          <w:rFonts w:ascii="Segoe UI" w:eastAsia="Times New Roman" w:hAnsi="Segoe UI" w:cs="Segoe UI"/>
          <w:sz w:val="18"/>
          <w:szCs w:val="18"/>
          <w:shd w:val="clear" w:color="auto" w:fill="FFFFFF"/>
          <w:lang w:eastAsia="es-CO"/>
        </w:rPr>
        <w:t> </w:t>
      </w:r>
    </w:p>
    <w:p w:rsidR="00951067" w:rsidRPr="00951067" w:rsidRDefault="00951067" w:rsidP="00951067">
      <w:pPr>
        <w:spacing w:line="240" w:lineRule="auto"/>
        <w:rPr>
          <w:rFonts w:ascii="Arial" w:eastAsia="Times New Roman" w:hAnsi="Arial" w:cs="Arial"/>
          <w:sz w:val="18"/>
          <w:szCs w:val="18"/>
          <w:lang w:eastAsia="es-CO"/>
        </w:rPr>
      </w:pPr>
      <w:r w:rsidRPr="00951067">
        <w:rPr>
          <w:rFonts w:ascii="Segoe UI" w:eastAsia="Times New Roman" w:hAnsi="Segoe UI" w:cs="Segoe UI"/>
          <w:sz w:val="18"/>
          <w:szCs w:val="18"/>
          <w:shd w:val="clear" w:color="auto" w:fill="FFFFFF"/>
          <w:lang w:eastAsia="es-CO"/>
        </w:rPr>
        <w:t>No prospera el cargo.</w:t>
      </w:r>
    </w:p>
    <w:p w:rsidR="00951067" w:rsidRPr="00951067" w:rsidRDefault="00951067" w:rsidP="00951067">
      <w:pPr>
        <w:spacing w:line="240" w:lineRule="auto"/>
        <w:rPr>
          <w:rFonts w:ascii="Arial" w:eastAsia="Times New Roman" w:hAnsi="Arial" w:cs="Arial"/>
          <w:sz w:val="18"/>
          <w:szCs w:val="18"/>
          <w:lang w:eastAsia="es-CO"/>
        </w:rPr>
      </w:pPr>
      <w:r w:rsidRPr="00951067">
        <w:rPr>
          <w:rFonts w:ascii="Segoe UI" w:eastAsia="Times New Roman" w:hAnsi="Segoe UI" w:cs="Segoe UI"/>
          <w:sz w:val="18"/>
          <w:szCs w:val="18"/>
          <w:shd w:val="clear" w:color="auto" w:fill="FFFFFF"/>
          <w:lang w:eastAsia="es-CO"/>
        </w:rPr>
        <w:t> </w:t>
      </w:r>
    </w:p>
    <w:p w:rsidR="00951067" w:rsidRPr="00951067" w:rsidRDefault="00951067" w:rsidP="00951067">
      <w:pPr>
        <w:spacing w:line="240" w:lineRule="auto"/>
        <w:rPr>
          <w:rFonts w:ascii="Arial" w:eastAsia="Times New Roman" w:hAnsi="Arial" w:cs="Arial"/>
          <w:sz w:val="18"/>
          <w:szCs w:val="18"/>
          <w:lang w:eastAsia="es-CO"/>
        </w:rPr>
      </w:pPr>
      <w:r w:rsidRPr="00951067">
        <w:rPr>
          <w:rFonts w:ascii="Segoe UI" w:eastAsia="Times New Roman" w:hAnsi="Segoe UI" w:cs="Segoe UI"/>
          <w:sz w:val="22"/>
          <w:lang w:eastAsia="es-CO"/>
        </w:rPr>
        <w:t>En mérito de lo expuesto, el Consejo de Estado, Sala de lo Contencioso Administrativo, Sección Cuarta, administrando justicia en nombre de la República de Colombia y por autoridad de la ley.</w:t>
      </w:r>
    </w:p>
    <w:p w:rsidR="00951067" w:rsidRPr="00951067" w:rsidRDefault="00951067" w:rsidP="00951067">
      <w:pPr>
        <w:spacing w:line="240" w:lineRule="auto"/>
        <w:jc w:val="center"/>
        <w:rPr>
          <w:rFonts w:ascii="Arial" w:eastAsia="Times New Roman" w:hAnsi="Arial" w:cs="Arial"/>
          <w:sz w:val="18"/>
          <w:szCs w:val="18"/>
          <w:lang w:eastAsia="es-CO"/>
        </w:rPr>
      </w:pPr>
      <w:r w:rsidRPr="00951067">
        <w:rPr>
          <w:rFonts w:ascii="Segoe UI" w:eastAsia="Times New Roman" w:hAnsi="Segoe UI" w:cs="Segoe UI"/>
          <w:sz w:val="22"/>
          <w:lang w:eastAsia="es-CO"/>
        </w:rPr>
        <w:t> </w:t>
      </w:r>
    </w:p>
    <w:p w:rsidR="00951067" w:rsidRPr="00951067" w:rsidRDefault="00951067" w:rsidP="00951067">
      <w:pPr>
        <w:spacing w:line="240" w:lineRule="auto"/>
        <w:jc w:val="center"/>
        <w:rPr>
          <w:rFonts w:ascii="Arial" w:eastAsia="Times New Roman" w:hAnsi="Arial" w:cs="Arial"/>
          <w:sz w:val="18"/>
          <w:szCs w:val="18"/>
          <w:highlight w:val="green"/>
          <w:lang w:eastAsia="es-CO"/>
        </w:rPr>
      </w:pPr>
      <w:r w:rsidRPr="00951067">
        <w:rPr>
          <w:rFonts w:ascii="Segoe UI" w:eastAsia="Times New Roman" w:hAnsi="Segoe UI" w:cs="Segoe UI"/>
          <w:b/>
          <w:bCs/>
          <w:sz w:val="22"/>
          <w:highlight w:val="green"/>
          <w:lang w:eastAsia="es-CO"/>
        </w:rPr>
        <w:t>FALLA</w:t>
      </w:r>
    </w:p>
    <w:p w:rsidR="00951067" w:rsidRPr="00951067" w:rsidRDefault="00951067" w:rsidP="00951067">
      <w:pPr>
        <w:spacing w:line="240" w:lineRule="auto"/>
        <w:rPr>
          <w:rFonts w:ascii="Arial" w:eastAsia="Times New Roman" w:hAnsi="Arial" w:cs="Arial"/>
          <w:sz w:val="18"/>
          <w:szCs w:val="18"/>
          <w:highlight w:val="green"/>
          <w:lang w:eastAsia="es-CO"/>
        </w:rPr>
      </w:pPr>
      <w:r w:rsidRPr="00951067">
        <w:rPr>
          <w:rFonts w:ascii="Segoe UI" w:eastAsia="Times New Roman" w:hAnsi="Segoe UI" w:cs="Segoe UI"/>
          <w:b/>
          <w:bCs/>
          <w:sz w:val="22"/>
          <w:highlight w:val="green"/>
          <w:lang w:eastAsia="es-CO"/>
        </w:rPr>
        <w:t> </w:t>
      </w:r>
    </w:p>
    <w:p w:rsidR="00951067" w:rsidRPr="00951067" w:rsidRDefault="00951067" w:rsidP="00951067">
      <w:pPr>
        <w:spacing w:line="240" w:lineRule="auto"/>
        <w:rPr>
          <w:rFonts w:ascii="Arial" w:eastAsia="Times New Roman" w:hAnsi="Arial" w:cs="Arial"/>
          <w:sz w:val="18"/>
          <w:szCs w:val="18"/>
          <w:lang w:eastAsia="es-CO"/>
        </w:rPr>
      </w:pPr>
      <w:r w:rsidRPr="00951067">
        <w:rPr>
          <w:rFonts w:ascii="Segoe UI" w:eastAsia="Times New Roman" w:hAnsi="Segoe UI" w:cs="Segoe UI"/>
          <w:b/>
          <w:bCs/>
          <w:sz w:val="22"/>
          <w:highlight w:val="green"/>
          <w:lang w:eastAsia="es-CO"/>
        </w:rPr>
        <w:t>PRIMERO. ANÚLASE </w:t>
      </w:r>
      <w:r w:rsidRPr="00951067">
        <w:rPr>
          <w:rFonts w:ascii="Segoe UI" w:eastAsia="Times New Roman" w:hAnsi="Segoe UI" w:cs="Segoe UI"/>
          <w:sz w:val="22"/>
          <w:highlight w:val="green"/>
          <w:lang w:eastAsia="es-CO"/>
        </w:rPr>
        <w:t>el parágrafo 2 del artículo 5º del Decreto 4956 de 2011.</w:t>
      </w:r>
    </w:p>
    <w:p w:rsidR="00951067" w:rsidRPr="00951067" w:rsidRDefault="00951067" w:rsidP="00951067">
      <w:pPr>
        <w:spacing w:line="240" w:lineRule="auto"/>
        <w:rPr>
          <w:rFonts w:ascii="Arial" w:eastAsia="Times New Roman" w:hAnsi="Arial" w:cs="Arial"/>
          <w:sz w:val="18"/>
          <w:szCs w:val="18"/>
          <w:lang w:eastAsia="es-CO"/>
        </w:rPr>
      </w:pPr>
      <w:r w:rsidRPr="00951067">
        <w:rPr>
          <w:rFonts w:ascii="Segoe UI" w:eastAsia="Times New Roman" w:hAnsi="Segoe UI" w:cs="Segoe UI"/>
          <w:sz w:val="22"/>
          <w:lang w:eastAsia="es-CO"/>
        </w:rPr>
        <w:t> </w:t>
      </w:r>
    </w:p>
    <w:p w:rsidR="00951067" w:rsidRPr="00951067" w:rsidRDefault="00951067" w:rsidP="00951067">
      <w:pPr>
        <w:spacing w:line="240" w:lineRule="auto"/>
        <w:rPr>
          <w:rFonts w:ascii="Arial" w:eastAsia="Times New Roman" w:hAnsi="Arial" w:cs="Arial"/>
          <w:sz w:val="18"/>
          <w:szCs w:val="18"/>
          <w:lang w:eastAsia="es-CO"/>
        </w:rPr>
      </w:pPr>
      <w:r w:rsidRPr="00951067">
        <w:rPr>
          <w:rFonts w:ascii="Segoe UI" w:eastAsia="Times New Roman" w:hAnsi="Segoe UI" w:cs="Segoe UI"/>
          <w:b/>
          <w:bCs/>
          <w:sz w:val="22"/>
          <w:lang w:eastAsia="es-CO"/>
        </w:rPr>
        <w:lastRenderedPageBreak/>
        <w:t>SEGUNDO. DENIÉGANSE</w:t>
      </w:r>
      <w:r w:rsidRPr="00951067">
        <w:rPr>
          <w:rFonts w:ascii="Segoe UI" w:eastAsia="Times New Roman" w:hAnsi="Segoe UI" w:cs="Segoe UI"/>
          <w:sz w:val="22"/>
          <w:lang w:eastAsia="es-CO"/>
        </w:rPr>
        <w:t> las demás pretensiones de la demanda que instauró el señor Albeiro Rojas Salazar en ejercicio de la acción de simple nulidad contra el Ministerio de Hacienda y Crédito Público.</w:t>
      </w:r>
    </w:p>
    <w:p w:rsidR="00951067" w:rsidRPr="00951067" w:rsidRDefault="00951067" w:rsidP="00951067">
      <w:pPr>
        <w:spacing w:line="240" w:lineRule="auto"/>
        <w:rPr>
          <w:rFonts w:ascii="Arial" w:eastAsia="Times New Roman" w:hAnsi="Arial" w:cs="Arial"/>
          <w:sz w:val="18"/>
          <w:szCs w:val="18"/>
          <w:lang w:eastAsia="es-CO"/>
        </w:rPr>
      </w:pPr>
      <w:r w:rsidRPr="00951067">
        <w:rPr>
          <w:rFonts w:ascii="Segoe UI" w:eastAsia="Times New Roman" w:hAnsi="Segoe UI" w:cs="Segoe UI"/>
          <w:sz w:val="22"/>
          <w:lang w:eastAsia="es-CO"/>
        </w:rPr>
        <w:t> </w:t>
      </w:r>
    </w:p>
    <w:p w:rsidR="00951067" w:rsidRPr="00951067" w:rsidRDefault="00951067" w:rsidP="00951067">
      <w:pPr>
        <w:spacing w:line="240" w:lineRule="auto"/>
        <w:rPr>
          <w:rFonts w:ascii="Arial" w:eastAsia="Times New Roman" w:hAnsi="Arial" w:cs="Arial"/>
          <w:sz w:val="18"/>
          <w:szCs w:val="18"/>
          <w:lang w:eastAsia="es-CO"/>
        </w:rPr>
      </w:pPr>
      <w:r w:rsidRPr="00951067">
        <w:rPr>
          <w:rFonts w:ascii="Segoe UI" w:eastAsia="Times New Roman" w:hAnsi="Segoe UI" w:cs="Segoe UI"/>
          <w:b/>
          <w:bCs/>
          <w:sz w:val="18"/>
          <w:szCs w:val="18"/>
          <w:lang w:eastAsia="es-CO"/>
        </w:rPr>
        <w:t>Cópiese, notifíquese, comuníquese. Devuélvase al tribunal de origen. Cúmplase.</w:t>
      </w:r>
    </w:p>
    <w:p w:rsidR="00951067" w:rsidRPr="00951067" w:rsidRDefault="00951067" w:rsidP="00951067">
      <w:pPr>
        <w:spacing w:line="240" w:lineRule="auto"/>
        <w:rPr>
          <w:rFonts w:ascii="Arial" w:eastAsia="Times New Roman" w:hAnsi="Arial" w:cs="Arial"/>
          <w:sz w:val="18"/>
          <w:szCs w:val="18"/>
          <w:lang w:eastAsia="es-CO"/>
        </w:rPr>
      </w:pPr>
      <w:r w:rsidRPr="00951067">
        <w:rPr>
          <w:rFonts w:ascii="Segoe UI" w:eastAsia="Times New Roman" w:hAnsi="Segoe UI" w:cs="Segoe UI"/>
          <w:b/>
          <w:bCs/>
          <w:sz w:val="18"/>
          <w:szCs w:val="18"/>
          <w:lang w:eastAsia="es-CO"/>
        </w:rPr>
        <w:t> </w:t>
      </w:r>
    </w:p>
    <w:p w:rsidR="00951067" w:rsidRPr="00951067" w:rsidRDefault="00951067" w:rsidP="00951067">
      <w:pPr>
        <w:spacing w:line="240" w:lineRule="auto"/>
        <w:rPr>
          <w:rFonts w:ascii="Arial" w:eastAsia="Times New Roman" w:hAnsi="Arial" w:cs="Arial"/>
          <w:sz w:val="18"/>
          <w:szCs w:val="18"/>
          <w:lang w:eastAsia="es-CO"/>
        </w:rPr>
      </w:pPr>
      <w:r w:rsidRPr="00951067">
        <w:rPr>
          <w:rFonts w:ascii="Segoe UI" w:eastAsia="Times New Roman" w:hAnsi="Segoe UI" w:cs="Segoe UI"/>
          <w:sz w:val="18"/>
          <w:szCs w:val="18"/>
          <w:lang w:eastAsia="es-CO"/>
        </w:rPr>
        <w:t>La anterior providencia se estudió y aprobó en la sesión de la fecha.</w:t>
      </w:r>
    </w:p>
    <w:p w:rsidR="00951067" w:rsidRPr="00951067" w:rsidRDefault="00951067" w:rsidP="00951067">
      <w:pPr>
        <w:spacing w:line="240" w:lineRule="auto"/>
        <w:rPr>
          <w:rFonts w:ascii="Arial" w:eastAsia="Times New Roman" w:hAnsi="Arial" w:cs="Arial"/>
          <w:sz w:val="18"/>
          <w:szCs w:val="18"/>
          <w:lang w:eastAsia="es-CO"/>
        </w:rPr>
      </w:pPr>
      <w:r w:rsidRPr="00951067">
        <w:rPr>
          <w:rFonts w:ascii="Segoe UI" w:eastAsia="Times New Roman" w:hAnsi="Segoe UI" w:cs="Segoe UI"/>
          <w:sz w:val="18"/>
          <w:szCs w:val="18"/>
          <w:lang w:eastAsia="es-CO"/>
        </w:rPr>
        <w:t> </w:t>
      </w:r>
    </w:p>
    <w:p w:rsidR="00951067" w:rsidRPr="00951067" w:rsidRDefault="00951067" w:rsidP="00951067">
      <w:pPr>
        <w:spacing w:line="240" w:lineRule="auto"/>
        <w:rPr>
          <w:rFonts w:ascii="Arial" w:eastAsia="Times New Roman" w:hAnsi="Arial" w:cs="Arial"/>
          <w:sz w:val="18"/>
          <w:szCs w:val="18"/>
          <w:lang w:eastAsia="es-CO"/>
        </w:rPr>
      </w:pPr>
      <w:r w:rsidRPr="00951067">
        <w:rPr>
          <w:rFonts w:ascii="Segoe UI" w:eastAsia="Times New Roman" w:hAnsi="Segoe UI" w:cs="Segoe UI"/>
          <w:sz w:val="18"/>
          <w:szCs w:val="18"/>
          <w:lang w:eastAsia="es-CO"/>
        </w:rPr>
        <w:t> </w:t>
      </w:r>
    </w:p>
    <w:p w:rsidR="00951067" w:rsidRPr="00951067" w:rsidRDefault="00951067" w:rsidP="00951067">
      <w:pPr>
        <w:spacing w:line="240" w:lineRule="auto"/>
        <w:rPr>
          <w:rFonts w:ascii="Arial" w:eastAsia="Times New Roman" w:hAnsi="Arial" w:cs="Arial"/>
          <w:sz w:val="18"/>
          <w:szCs w:val="18"/>
          <w:lang w:eastAsia="es-CO"/>
        </w:rPr>
      </w:pPr>
      <w:r w:rsidRPr="00951067">
        <w:rPr>
          <w:rFonts w:ascii="Segoe UI" w:eastAsia="Times New Roman" w:hAnsi="Segoe UI" w:cs="Segoe UI"/>
          <w:b/>
          <w:bCs/>
          <w:sz w:val="18"/>
          <w:szCs w:val="18"/>
          <w:lang w:eastAsia="es-CO"/>
        </w:rPr>
        <w:t>HUGO FERNANDO BASTIDAS BÁRCENAS</w:t>
      </w:r>
    </w:p>
    <w:p w:rsidR="00951067" w:rsidRPr="00951067" w:rsidRDefault="00951067" w:rsidP="00951067">
      <w:pPr>
        <w:spacing w:line="240" w:lineRule="auto"/>
        <w:rPr>
          <w:rFonts w:ascii="Arial" w:eastAsia="Times New Roman" w:hAnsi="Arial" w:cs="Arial"/>
          <w:sz w:val="18"/>
          <w:szCs w:val="18"/>
          <w:lang w:eastAsia="es-CO"/>
        </w:rPr>
      </w:pPr>
      <w:r w:rsidRPr="00951067">
        <w:rPr>
          <w:rFonts w:ascii="Segoe UI" w:eastAsia="Times New Roman" w:hAnsi="Segoe UI" w:cs="Segoe UI"/>
          <w:sz w:val="18"/>
          <w:szCs w:val="18"/>
          <w:lang w:eastAsia="es-CO"/>
        </w:rPr>
        <w:t>Presidente</w:t>
      </w:r>
    </w:p>
    <w:p w:rsidR="00951067" w:rsidRPr="00951067" w:rsidRDefault="00951067" w:rsidP="00951067">
      <w:pPr>
        <w:spacing w:line="240" w:lineRule="auto"/>
        <w:rPr>
          <w:rFonts w:ascii="Arial" w:eastAsia="Times New Roman" w:hAnsi="Arial" w:cs="Arial"/>
          <w:sz w:val="18"/>
          <w:szCs w:val="18"/>
          <w:lang w:eastAsia="es-CO"/>
        </w:rPr>
      </w:pPr>
      <w:r w:rsidRPr="00951067">
        <w:rPr>
          <w:rFonts w:ascii="Segoe UI" w:eastAsia="Times New Roman" w:hAnsi="Segoe UI" w:cs="Segoe UI"/>
          <w:sz w:val="18"/>
          <w:szCs w:val="18"/>
          <w:lang w:eastAsia="es-CO"/>
        </w:rPr>
        <w:t> </w:t>
      </w:r>
    </w:p>
    <w:p w:rsidR="00951067" w:rsidRPr="00951067" w:rsidRDefault="00951067" w:rsidP="00951067">
      <w:pPr>
        <w:spacing w:line="240" w:lineRule="auto"/>
        <w:rPr>
          <w:rFonts w:ascii="Arial" w:eastAsia="Times New Roman" w:hAnsi="Arial" w:cs="Arial"/>
          <w:sz w:val="18"/>
          <w:szCs w:val="18"/>
          <w:lang w:eastAsia="es-CO"/>
        </w:rPr>
      </w:pPr>
      <w:r w:rsidRPr="00951067">
        <w:rPr>
          <w:rFonts w:ascii="Segoe UI" w:eastAsia="Times New Roman" w:hAnsi="Segoe UI" w:cs="Segoe UI"/>
          <w:sz w:val="18"/>
          <w:szCs w:val="18"/>
          <w:lang w:eastAsia="es-CO"/>
        </w:rPr>
        <w:t> </w:t>
      </w:r>
    </w:p>
    <w:p w:rsidR="00951067" w:rsidRPr="00951067" w:rsidRDefault="00951067" w:rsidP="00951067">
      <w:pPr>
        <w:spacing w:line="240" w:lineRule="auto"/>
        <w:rPr>
          <w:rFonts w:ascii="Arial" w:eastAsia="Times New Roman" w:hAnsi="Arial" w:cs="Arial"/>
          <w:sz w:val="18"/>
          <w:szCs w:val="18"/>
          <w:lang w:eastAsia="es-CO"/>
        </w:rPr>
      </w:pPr>
      <w:r w:rsidRPr="00951067">
        <w:rPr>
          <w:rFonts w:ascii="Segoe UI" w:eastAsia="Times New Roman" w:hAnsi="Segoe UI" w:cs="Segoe UI"/>
          <w:b/>
          <w:bCs/>
          <w:sz w:val="18"/>
          <w:szCs w:val="18"/>
          <w:lang w:eastAsia="es-CO"/>
        </w:rPr>
        <w:t>STELLA JEANNETTE CARVAJAL BASTO</w:t>
      </w:r>
    </w:p>
    <w:p w:rsidR="00951067" w:rsidRPr="00951067" w:rsidRDefault="00951067" w:rsidP="00951067">
      <w:pPr>
        <w:spacing w:line="240" w:lineRule="auto"/>
        <w:rPr>
          <w:rFonts w:ascii="Arial" w:eastAsia="Times New Roman" w:hAnsi="Arial" w:cs="Arial"/>
          <w:sz w:val="18"/>
          <w:szCs w:val="18"/>
          <w:lang w:eastAsia="es-CO"/>
        </w:rPr>
      </w:pPr>
      <w:r w:rsidRPr="00951067">
        <w:rPr>
          <w:rFonts w:ascii="Segoe UI" w:eastAsia="Times New Roman" w:hAnsi="Segoe UI" w:cs="Segoe UI"/>
          <w:b/>
          <w:bCs/>
          <w:sz w:val="18"/>
          <w:szCs w:val="18"/>
          <w:lang w:eastAsia="es-CO"/>
        </w:rPr>
        <w:t> </w:t>
      </w:r>
    </w:p>
    <w:p w:rsidR="00951067" w:rsidRPr="00951067" w:rsidRDefault="00951067" w:rsidP="00951067">
      <w:pPr>
        <w:spacing w:line="240" w:lineRule="auto"/>
        <w:rPr>
          <w:rFonts w:ascii="Arial" w:eastAsia="Times New Roman" w:hAnsi="Arial" w:cs="Arial"/>
          <w:sz w:val="18"/>
          <w:szCs w:val="18"/>
          <w:lang w:eastAsia="es-CO"/>
        </w:rPr>
      </w:pPr>
      <w:r w:rsidRPr="00951067">
        <w:rPr>
          <w:rFonts w:ascii="Segoe UI" w:eastAsia="Times New Roman" w:hAnsi="Segoe UI" w:cs="Segoe UI"/>
          <w:b/>
          <w:bCs/>
          <w:sz w:val="18"/>
          <w:szCs w:val="18"/>
          <w:lang w:eastAsia="es-CO"/>
        </w:rPr>
        <w:t> </w:t>
      </w:r>
    </w:p>
    <w:p w:rsidR="00951067" w:rsidRPr="00951067" w:rsidRDefault="00951067" w:rsidP="00951067">
      <w:pPr>
        <w:spacing w:line="240" w:lineRule="auto"/>
        <w:rPr>
          <w:rFonts w:ascii="Arial" w:eastAsia="Times New Roman" w:hAnsi="Arial" w:cs="Arial"/>
          <w:sz w:val="18"/>
          <w:szCs w:val="18"/>
          <w:lang w:eastAsia="es-CO"/>
        </w:rPr>
      </w:pPr>
      <w:r w:rsidRPr="00951067">
        <w:rPr>
          <w:rFonts w:ascii="Segoe UI" w:eastAsia="Times New Roman" w:hAnsi="Segoe UI" w:cs="Segoe UI"/>
          <w:b/>
          <w:bCs/>
          <w:sz w:val="18"/>
          <w:szCs w:val="18"/>
          <w:lang w:eastAsia="es-CO"/>
        </w:rPr>
        <w:t xml:space="preserve">JORGE OCTAVIO RAMÍREZ </w:t>
      </w:r>
      <w:proofErr w:type="spellStart"/>
      <w:r w:rsidRPr="00951067">
        <w:rPr>
          <w:rFonts w:ascii="Segoe UI" w:eastAsia="Times New Roman" w:hAnsi="Segoe UI" w:cs="Segoe UI"/>
          <w:b/>
          <w:bCs/>
          <w:sz w:val="18"/>
          <w:szCs w:val="18"/>
          <w:lang w:eastAsia="es-CO"/>
        </w:rPr>
        <w:t>RAMÍREZ</w:t>
      </w:r>
      <w:proofErr w:type="spellEnd"/>
    </w:p>
    <w:p w:rsidR="00951067" w:rsidRPr="00951067" w:rsidRDefault="00951067" w:rsidP="00951067">
      <w:pPr>
        <w:spacing w:line="240" w:lineRule="auto"/>
        <w:rPr>
          <w:rFonts w:ascii="Arial" w:eastAsia="Times New Roman" w:hAnsi="Arial" w:cs="Arial"/>
          <w:sz w:val="18"/>
          <w:szCs w:val="18"/>
          <w:lang w:eastAsia="es-CO"/>
        </w:rPr>
      </w:pPr>
      <w:r w:rsidRPr="00951067">
        <w:rPr>
          <w:rFonts w:ascii="Arial" w:eastAsia="Times New Roman" w:hAnsi="Arial" w:cs="Arial"/>
          <w:sz w:val="18"/>
          <w:szCs w:val="18"/>
          <w:lang w:eastAsia="es-CO"/>
        </w:rPr>
        <w:br w:type="textWrapping" w:clear="all"/>
      </w:r>
    </w:p>
    <w:p w:rsidR="00951067" w:rsidRPr="00951067" w:rsidRDefault="00951067" w:rsidP="00951067">
      <w:pPr>
        <w:spacing w:line="240" w:lineRule="auto"/>
        <w:rPr>
          <w:rFonts w:ascii="Arial" w:eastAsia="Times New Roman" w:hAnsi="Arial" w:cs="Arial"/>
          <w:sz w:val="18"/>
          <w:szCs w:val="18"/>
          <w:lang w:eastAsia="es-CO"/>
        </w:rPr>
      </w:pPr>
      <w:r w:rsidRPr="00951067">
        <w:rPr>
          <w:rFonts w:ascii="Arial" w:eastAsia="Times New Roman" w:hAnsi="Arial" w:cs="Arial"/>
          <w:sz w:val="18"/>
          <w:szCs w:val="18"/>
          <w:lang w:eastAsia="es-CO"/>
        </w:rPr>
        <w:pict>
          <v:rect id="_x0000_i1025" style="width:145.85pt;height:.6pt" o:hrpct="330" o:hrstd="t" o:hr="t" fillcolor="#a0a0a0" stroked="f"/>
        </w:pict>
      </w:r>
    </w:p>
    <w:bookmarkStart w:id="4" w:name="_ftn1"/>
    <w:p w:rsidR="00951067" w:rsidRPr="00951067" w:rsidRDefault="00951067" w:rsidP="00951067">
      <w:pPr>
        <w:spacing w:line="240" w:lineRule="auto"/>
        <w:rPr>
          <w:rFonts w:ascii="Arial" w:eastAsia="Times New Roman" w:hAnsi="Arial" w:cs="Arial"/>
          <w:sz w:val="18"/>
          <w:szCs w:val="18"/>
          <w:lang w:eastAsia="es-CO"/>
        </w:rPr>
      </w:pPr>
      <w:r w:rsidRPr="00951067">
        <w:rPr>
          <w:rFonts w:ascii="Arial" w:eastAsia="Times New Roman" w:hAnsi="Arial" w:cs="Arial"/>
          <w:sz w:val="18"/>
          <w:szCs w:val="18"/>
          <w:lang w:eastAsia="es-CO"/>
        </w:rPr>
        <w:fldChar w:fldCharType="begin"/>
      </w:r>
      <w:r w:rsidRPr="00951067">
        <w:rPr>
          <w:rFonts w:ascii="Arial" w:eastAsia="Times New Roman" w:hAnsi="Arial" w:cs="Arial"/>
          <w:sz w:val="18"/>
          <w:szCs w:val="18"/>
          <w:lang w:eastAsia="es-CO"/>
        </w:rPr>
        <w:instrText xml:space="preserve"> HYPERLINK "https://www.ceta.org.co/html/vista_de_un_documento.asp?DocumentoID=31827" \l "_ftnref1" \o "" </w:instrText>
      </w:r>
      <w:r w:rsidRPr="00951067">
        <w:rPr>
          <w:rFonts w:ascii="Arial" w:eastAsia="Times New Roman" w:hAnsi="Arial" w:cs="Arial"/>
          <w:sz w:val="18"/>
          <w:szCs w:val="18"/>
          <w:lang w:eastAsia="es-CO"/>
        </w:rPr>
        <w:fldChar w:fldCharType="separate"/>
      </w:r>
      <w:r w:rsidRPr="00951067">
        <w:rPr>
          <w:rFonts w:ascii="Segoe UI" w:eastAsia="Times New Roman" w:hAnsi="Segoe UI" w:cs="Segoe UI"/>
          <w:sz w:val="20"/>
          <w:szCs w:val="20"/>
          <w:lang w:eastAsia="es-CO"/>
        </w:rPr>
        <w:t>[1]</w:t>
      </w:r>
      <w:r w:rsidRPr="00951067">
        <w:rPr>
          <w:rFonts w:ascii="Arial" w:eastAsia="Times New Roman" w:hAnsi="Arial" w:cs="Arial"/>
          <w:sz w:val="18"/>
          <w:szCs w:val="18"/>
          <w:lang w:eastAsia="es-CO"/>
        </w:rPr>
        <w:fldChar w:fldCharType="end"/>
      </w:r>
      <w:bookmarkEnd w:id="4"/>
      <w:r w:rsidRPr="00951067">
        <w:rPr>
          <w:rFonts w:ascii="Segoe UI" w:eastAsia="Times New Roman" w:hAnsi="Segoe UI" w:cs="Segoe UI"/>
          <w:sz w:val="20"/>
          <w:szCs w:val="20"/>
          <w:lang w:eastAsia="es-CO"/>
        </w:rPr>
        <w:t> Corte Constitucional. Sentencia C-121 de 2006. M.P.: Marco Gerardo Monroy Cabra.</w:t>
      </w:r>
    </w:p>
    <w:p w:rsidR="00951067" w:rsidRPr="00951067" w:rsidRDefault="00951067" w:rsidP="00951067">
      <w:pPr>
        <w:spacing w:line="240" w:lineRule="auto"/>
        <w:rPr>
          <w:rFonts w:ascii="Arial" w:eastAsia="Times New Roman" w:hAnsi="Arial" w:cs="Arial"/>
          <w:sz w:val="18"/>
          <w:szCs w:val="18"/>
          <w:lang w:eastAsia="es-CO"/>
        </w:rPr>
      </w:pPr>
      <w:r w:rsidRPr="00951067">
        <w:rPr>
          <w:rFonts w:ascii="Segoe UI" w:eastAsia="Times New Roman" w:hAnsi="Segoe UI" w:cs="Segoe UI"/>
          <w:sz w:val="20"/>
          <w:szCs w:val="20"/>
          <w:lang w:eastAsia="es-CO"/>
        </w:rPr>
        <w:t> </w:t>
      </w:r>
    </w:p>
    <w:bookmarkStart w:id="5" w:name="_ftn2"/>
    <w:p w:rsidR="00951067" w:rsidRPr="00951067" w:rsidRDefault="00951067" w:rsidP="00951067">
      <w:pPr>
        <w:spacing w:line="240" w:lineRule="auto"/>
        <w:rPr>
          <w:rFonts w:ascii="Arial" w:eastAsia="Times New Roman" w:hAnsi="Arial" w:cs="Arial"/>
          <w:sz w:val="18"/>
          <w:szCs w:val="18"/>
          <w:lang w:eastAsia="es-CO"/>
        </w:rPr>
      </w:pPr>
      <w:r w:rsidRPr="00951067">
        <w:rPr>
          <w:rFonts w:ascii="Arial" w:eastAsia="Times New Roman" w:hAnsi="Arial" w:cs="Arial"/>
          <w:sz w:val="18"/>
          <w:szCs w:val="18"/>
          <w:lang w:eastAsia="es-CO"/>
        </w:rPr>
        <w:fldChar w:fldCharType="begin"/>
      </w:r>
      <w:r w:rsidRPr="00951067">
        <w:rPr>
          <w:rFonts w:ascii="Arial" w:eastAsia="Times New Roman" w:hAnsi="Arial" w:cs="Arial"/>
          <w:sz w:val="18"/>
          <w:szCs w:val="18"/>
          <w:lang w:eastAsia="es-CO"/>
        </w:rPr>
        <w:instrText xml:space="preserve"> HYPERLINK "https://www.ceta.org.co/html/vista_de_un_documento.asp?DocumentoID=31827" \l "_ftnref2" \o "" </w:instrText>
      </w:r>
      <w:r w:rsidRPr="00951067">
        <w:rPr>
          <w:rFonts w:ascii="Arial" w:eastAsia="Times New Roman" w:hAnsi="Arial" w:cs="Arial"/>
          <w:sz w:val="18"/>
          <w:szCs w:val="18"/>
          <w:lang w:eastAsia="es-CO"/>
        </w:rPr>
        <w:fldChar w:fldCharType="separate"/>
      </w:r>
      <w:r w:rsidRPr="00951067">
        <w:rPr>
          <w:rFonts w:ascii="Segoe UI" w:eastAsia="Times New Roman" w:hAnsi="Segoe UI" w:cs="Segoe UI"/>
          <w:sz w:val="20"/>
          <w:szCs w:val="20"/>
          <w:lang w:eastAsia="es-CO"/>
        </w:rPr>
        <w:t>[2]</w:t>
      </w:r>
      <w:r w:rsidRPr="00951067">
        <w:rPr>
          <w:rFonts w:ascii="Arial" w:eastAsia="Times New Roman" w:hAnsi="Arial" w:cs="Arial"/>
          <w:sz w:val="18"/>
          <w:szCs w:val="18"/>
          <w:lang w:eastAsia="es-CO"/>
        </w:rPr>
        <w:fldChar w:fldCharType="end"/>
      </w:r>
      <w:bookmarkEnd w:id="5"/>
      <w:r w:rsidRPr="00951067">
        <w:rPr>
          <w:rFonts w:ascii="Segoe UI" w:eastAsia="Times New Roman" w:hAnsi="Segoe UI" w:cs="Segoe UI"/>
          <w:sz w:val="20"/>
          <w:szCs w:val="20"/>
          <w:lang w:eastAsia="es-CO"/>
        </w:rPr>
        <w:t> Revisión 3 adaptada para Colombia. DANE</w:t>
      </w:r>
    </w:p>
    <w:p w:rsidR="00951067" w:rsidRPr="00951067" w:rsidRDefault="00951067" w:rsidP="00951067">
      <w:pPr>
        <w:spacing w:line="240" w:lineRule="auto"/>
        <w:rPr>
          <w:rFonts w:ascii="Arial" w:eastAsia="Times New Roman" w:hAnsi="Arial" w:cs="Arial"/>
          <w:sz w:val="18"/>
          <w:szCs w:val="18"/>
          <w:lang w:eastAsia="es-CO"/>
        </w:rPr>
      </w:pPr>
      <w:r w:rsidRPr="00951067">
        <w:rPr>
          <w:rFonts w:ascii="Segoe UI" w:eastAsia="Times New Roman" w:hAnsi="Segoe UI" w:cs="Segoe UI"/>
          <w:sz w:val="20"/>
          <w:szCs w:val="20"/>
          <w:lang w:eastAsia="es-CO"/>
        </w:rPr>
        <w:t> </w:t>
      </w:r>
    </w:p>
    <w:bookmarkStart w:id="6" w:name="_ftn3"/>
    <w:p w:rsidR="00951067" w:rsidRPr="00951067" w:rsidRDefault="00951067" w:rsidP="00951067">
      <w:pPr>
        <w:spacing w:line="240" w:lineRule="auto"/>
        <w:rPr>
          <w:rFonts w:ascii="Arial" w:eastAsia="Times New Roman" w:hAnsi="Arial" w:cs="Arial"/>
          <w:sz w:val="18"/>
          <w:szCs w:val="18"/>
          <w:lang w:eastAsia="es-CO"/>
        </w:rPr>
      </w:pPr>
      <w:r w:rsidRPr="00951067">
        <w:rPr>
          <w:rFonts w:ascii="Arial" w:eastAsia="Times New Roman" w:hAnsi="Arial" w:cs="Arial"/>
          <w:sz w:val="18"/>
          <w:szCs w:val="18"/>
          <w:lang w:eastAsia="es-CO"/>
        </w:rPr>
        <w:fldChar w:fldCharType="begin"/>
      </w:r>
      <w:r w:rsidRPr="00951067">
        <w:rPr>
          <w:rFonts w:ascii="Arial" w:eastAsia="Times New Roman" w:hAnsi="Arial" w:cs="Arial"/>
          <w:sz w:val="18"/>
          <w:szCs w:val="18"/>
          <w:lang w:eastAsia="es-CO"/>
        </w:rPr>
        <w:instrText xml:space="preserve"> HYPERLINK "https://www.ceta.org.co/html/vista_de_un_documento.asp?DocumentoID=31827" \l "_ftnref3" \o "" </w:instrText>
      </w:r>
      <w:r w:rsidRPr="00951067">
        <w:rPr>
          <w:rFonts w:ascii="Arial" w:eastAsia="Times New Roman" w:hAnsi="Arial" w:cs="Arial"/>
          <w:sz w:val="18"/>
          <w:szCs w:val="18"/>
          <w:lang w:eastAsia="es-CO"/>
        </w:rPr>
        <w:fldChar w:fldCharType="separate"/>
      </w:r>
      <w:r w:rsidRPr="00951067">
        <w:rPr>
          <w:rFonts w:ascii="Segoe UI" w:eastAsia="Times New Roman" w:hAnsi="Segoe UI" w:cs="Segoe UI"/>
          <w:sz w:val="20"/>
          <w:szCs w:val="20"/>
          <w:lang w:eastAsia="es-CO"/>
        </w:rPr>
        <w:t>[3]</w:t>
      </w:r>
      <w:r w:rsidRPr="00951067">
        <w:rPr>
          <w:rFonts w:ascii="Arial" w:eastAsia="Times New Roman" w:hAnsi="Arial" w:cs="Arial"/>
          <w:sz w:val="18"/>
          <w:szCs w:val="18"/>
          <w:lang w:eastAsia="es-CO"/>
        </w:rPr>
        <w:fldChar w:fldCharType="end"/>
      </w:r>
      <w:bookmarkEnd w:id="6"/>
      <w:r w:rsidRPr="00951067">
        <w:rPr>
          <w:rFonts w:ascii="Segoe UI" w:eastAsia="Times New Roman" w:hAnsi="Segoe UI" w:cs="Segoe UI"/>
          <w:sz w:val="20"/>
          <w:szCs w:val="20"/>
          <w:lang w:eastAsia="es-CO"/>
        </w:rPr>
        <w:t> </w:t>
      </w:r>
      <w:r w:rsidRPr="00951067">
        <w:rPr>
          <w:rFonts w:ascii="Segoe UI" w:eastAsia="Times New Roman" w:hAnsi="Segoe UI" w:cs="Segoe UI"/>
          <w:i/>
          <w:iCs/>
          <w:sz w:val="20"/>
          <w:szCs w:val="20"/>
          <w:lang w:eastAsia="es-CO"/>
        </w:rPr>
        <w:t>Ibídem</w:t>
      </w:r>
      <w:r w:rsidRPr="00951067">
        <w:rPr>
          <w:rFonts w:ascii="Segoe UI" w:eastAsia="Times New Roman" w:hAnsi="Segoe UI" w:cs="Segoe UI"/>
          <w:sz w:val="20"/>
          <w:szCs w:val="20"/>
          <w:lang w:eastAsia="es-CO"/>
        </w:rPr>
        <w:t>.</w:t>
      </w:r>
    </w:p>
    <w:p w:rsidR="00961BFA" w:rsidRPr="00951067" w:rsidRDefault="00961BFA"/>
    <w:sectPr w:rsidR="00961BFA" w:rsidRPr="00951067" w:rsidSect="00B94BED">
      <w:pgSz w:w="12242" w:h="18705" w:code="120"/>
      <w:pgMar w:top="1701" w:right="1701" w:bottom="1701" w:left="1701" w:header="1418" w:footer="72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00022FF" w:usb1="C000205B" w:usb2="0000000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1067"/>
    <w:rsid w:val="0029351E"/>
    <w:rsid w:val="00951067"/>
    <w:rsid w:val="00961BFA"/>
    <w:rsid w:val="00B94BED"/>
    <w:rsid w:val="00E3651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90AFE5-3258-4CF4-A6E7-BF74EEFF2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s-CO" w:eastAsia="en-U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1156880">
      <w:bodyDiv w:val="1"/>
      <w:marLeft w:val="0"/>
      <w:marRight w:val="0"/>
      <w:marTop w:val="0"/>
      <w:marBottom w:val="0"/>
      <w:divBdr>
        <w:top w:val="none" w:sz="0" w:space="0" w:color="auto"/>
        <w:left w:val="none" w:sz="0" w:space="0" w:color="auto"/>
        <w:bottom w:val="none" w:sz="0" w:space="0" w:color="auto"/>
        <w:right w:val="none" w:sz="0" w:space="0" w:color="auto"/>
      </w:divBdr>
      <w:divsChild>
        <w:div w:id="1410538552">
          <w:marLeft w:val="0"/>
          <w:marRight w:val="0"/>
          <w:marTop w:val="0"/>
          <w:marBottom w:val="0"/>
          <w:divBdr>
            <w:top w:val="none" w:sz="0" w:space="0" w:color="auto"/>
            <w:left w:val="none" w:sz="0" w:space="0" w:color="auto"/>
            <w:bottom w:val="none" w:sz="0" w:space="0" w:color="auto"/>
            <w:right w:val="none" w:sz="0" w:space="0" w:color="auto"/>
          </w:divBdr>
        </w:div>
        <w:div w:id="572011708">
          <w:marLeft w:val="0"/>
          <w:marRight w:val="0"/>
          <w:marTop w:val="0"/>
          <w:marBottom w:val="0"/>
          <w:divBdr>
            <w:top w:val="none" w:sz="0" w:space="0" w:color="auto"/>
            <w:left w:val="none" w:sz="0" w:space="0" w:color="auto"/>
            <w:bottom w:val="none" w:sz="0" w:space="0" w:color="auto"/>
            <w:right w:val="none" w:sz="0" w:space="0" w:color="auto"/>
          </w:divBdr>
        </w:div>
        <w:div w:id="5371336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7</Pages>
  <Words>4098</Words>
  <Characters>22544</Characters>
  <Application>Microsoft Office Word</Application>
  <DocSecurity>0</DocSecurity>
  <Lines>187</Lines>
  <Paragraphs>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CENTRO NACIONAL DE ESTUDIOS TRIBUTARIOS DE COLOMBIA CNETCO</dc:creator>
  <cp:keywords/>
  <dc:description/>
  <cp:lastModifiedBy>CENTRO NACIONAL DE ESTUDIOS TRIBUTARIOS DE COLOMBIA CNETCO</cp:lastModifiedBy>
  <cp:revision>1</cp:revision>
  <dcterms:created xsi:type="dcterms:W3CDTF">2017-05-26T00:53:00Z</dcterms:created>
  <dcterms:modified xsi:type="dcterms:W3CDTF">2017-05-26T01:02:00Z</dcterms:modified>
</cp:coreProperties>
</file>